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4C0" w14:textId="77777777" w:rsidR="00C15726" w:rsidRPr="00C15726" w:rsidRDefault="00C15726" w:rsidP="00C15726">
      <w:pPr>
        <w:pStyle w:val="texte"/>
        <w:spacing w:before="300" w:beforeAutospacing="0" w:after="0" w:afterAutospacing="0"/>
        <w:ind w:left="150" w:right="150"/>
        <w:jc w:val="center"/>
        <w:rPr>
          <w:color w:val="ED7D31" w:themeColor="accent2"/>
          <w:sz w:val="36"/>
          <w:szCs w:val="36"/>
        </w:rPr>
      </w:pPr>
      <w:r w:rsidRPr="00C15726">
        <w:rPr>
          <w:rStyle w:val="lev"/>
          <w:color w:val="ED7D31" w:themeColor="accent2"/>
          <w:sz w:val="36"/>
          <w:szCs w:val="36"/>
        </w:rPr>
        <w:t>Contrats courts en taux neutres : revalorisation de l'abattement d'1/2 SMIC en net imposable</w:t>
      </w:r>
    </w:p>
    <w:p w14:paraId="707CF54F" w14:textId="3C1B0723"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Style w:val="lev"/>
          <w:rFonts w:ascii="Open Sans" w:hAnsi="Open Sans" w:cs="Open Sans"/>
          <w:color w:val="263C46"/>
          <w:sz w:val="21"/>
          <w:szCs w:val="21"/>
        </w:rPr>
        <w:t>PAS sur les contrats courts (rappel). -</w:t>
      </w:r>
      <w:r>
        <w:rPr>
          <w:rFonts w:ascii="Open Sans" w:hAnsi="Open Sans" w:cs="Open Sans"/>
          <w:color w:val="263C46"/>
          <w:sz w:val="21"/>
          <w:szCs w:val="21"/>
        </w:rPr>
        <w:t> La législation sur le prélèvement à la source (PAS) prévoit des modalités particulières d’application des grilles de taux neutres aux contrats courts</w:t>
      </w:r>
      <w:r>
        <w:rPr>
          <w:rFonts w:ascii="Open Sans" w:hAnsi="Open Sans" w:cs="Open Sans"/>
          <w:color w:val="263C46"/>
          <w:sz w:val="21"/>
          <w:szCs w:val="21"/>
        </w:rPr>
        <w:t xml:space="preserve">. </w:t>
      </w:r>
      <w:r>
        <w:rPr>
          <w:rFonts w:ascii="Open Sans" w:hAnsi="Open Sans" w:cs="Open Sans"/>
          <w:color w:val="263C46"/>
          <w:sz w:val="21"/>
          <w:szCs w:val="21"/>
        </w:rPr>
        <w:t>En pratique, sont ici visés les contrats suivants :</w:t>
      </w:r>
    </w:p>
    <w:p w14:paraId="68FE6E9A"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2"/>
          <w:szCs w:val="22"/>
        </w:rPr>
      </w:pPr>
      <w:r>
        <w:rPr>
          <w:rStyle w:val="lev"/>
          <w:rFonts w:ascii="Open Sans" w:hAnsi="Open Sans" w:cs="Open Sans"/>
          <w:color w:val="263C46"/>
          <w:sz w:val="21"/>
          <w:szCs w:val="21"/>
        </w:rPr>
        <w:t xml:space="preserve">* </w:t>
      </w:r>
      <w:r>
        <w:rPr>
          <w:rFonts w:ascii="Open Sans" w:hAnsi="Open Sans" w:cs="Open Sans"/>
          <w:color w:val="263C46"/>
          <w:sz w:val="22"/>
          <w:szCs w:val="22"/>
        </w:rPr>
        <w:t>les </w:t>
      </w:r>
      <w:r>
        <w:rPr>
          <w:rStyle w:val="lev"/>
          <w:rFonts w:ascii="Open Sans" w:hAnsi="Open Sans" w:cs="Open Sans"/>
          <w:color w:val="263C46"/>
          <w:sz w:val="22"/>
          <w:szCs w:val="22"/>
        </w:rPr>
        <w:t>CDD</w:t>
      </w:r>
      <w:r>
        <w:rPr>
          <w:rFonts w:ascii="Open Sans" w:hAnsi="Open Sans" w:cs="Open Sans"/>
          <w:color w:val="263C46"/>
          <w:sz w:val="22"/>
          <w:szCs w:val="22"/>
        </w:rPr>
        <w:t> (ou contrats de mission des intérimaires) à </w:t>
      </w:r>
      <w:r>
        <w:rPr>
          <w:rStyle w:val="lev"/>
          <w:rFonts w:ascii="Open Sans" w:hAnsi="Open Sans" w:cs="Open Sans"/>
          <w:color w:val="263C46"/>
          <w:sz w:val="22"/>
          <w:szCs w:val="22"/>
        </w:rPr>
        <w:t>terme précis</w:t>
      </w:r>
      <w:r>
        <w:rPr>
          <w:rFonts w:ascii="Open Sans" w:hAnsi="Open Sans" w:cs="Open Sans"/>
          <w:color w:val="263C46"/>
          <w:sz w:val="22"/>
          <w:szCs w:val="22"/>
        </w:rPr>
        <w:t> dont le </w:t>
      </w:r>
      <w:r>
        <w:rPr>
          <w:rStyle w:val="lev"/>
          <w:rFonts w:ascii="Open Sans" w:hAnsi="Open Sans" w:cs="Open Sans"/>
          <w:color w:val="263C46"/>
          <w:sz w:val="22"/>
          <w:szCs w:val="22"/>
        </w:rPr>
        <w:t>terme initial n’excède pas 2 mois</w:t>
      </w:r>
      <w:r>
        <w:rPr>
          <w:rFonts w:ascii="Open Sans" w:hAnsi="Open Sans" w:cs="Open Sans"/>
          <w:color w:val="263C46"/>
          <w:sz w:val="22"/>
          <w:szCs w:val="22"/>
        </w:rPr>
        <w:t> ;</w:t>
      </w:r>
    </w:p>
    <w:p w14:paraId="7CD6EB99" w14:textId="2820A802" w:rsidR="00C15726" w:rsidRP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Style w:val="lev"/>
          <w:rFonts w:ascii="Open Sans" w:hAnsi="Open Sans" w:cs="Open Sans"/>
          <w:color w:val="263C46"/>
          <w:sz w:val="21"/>
          <w:szCs w:val="21"/>
        </w:rPr>
        <w:t xml:space="preserve">* </w:t>
      </w:r>
      <w:r>
        <w:rPr>
          <w:rFonts w:ascii="Open Sans" w:hAnsi="Open Sans" w:cs="Open Sans"/>
          <w:color w:val="263C46"/>
          <w:sz w:val="22"/>
          <w:szCs w:val="22"/>
        </w:rPr>
        <w:t>les </w:t>
      </w:r>
      <w:r>
        <w:rPr>
          <w:rStyle w:val="lev"/>
          <w:rFonts w:ascii="Open Sans" w:hAnsi="Open Sans" w:cs="Open Sans"/>
          <w:color w:val="263C46"/>
          <w:sz w:val="22"/>
          <w:szCs w:val="22"/>
        </w:rPr>
        <w:t>CDD </w:t>
      </w:r>
      <w:r>
        <w:rPr>
          <w:rFonts w:ascii="Open Sans" w:hAnsi="Open Sans" w:cs="Open Sans"/>
          <w:color w:val="263C46"/>
          <w:sz w:val="22"/>
          <w:szCs w:val="22"/>
        </w:rPr>
        <w:t>(ou contrats de mission des intérimaires) à </w:t>
      </w:r>
      <w:r>
        <w:rPr>
          <w:rStyle w:val="lev"/>
          <w:rFonts w:ascii="Open Sans" w:hAnsi="Open Sans" w:cs="Open Sans"/>
          <w:color w:val="263C46"/>
          <w:sz w:val="22"/>
          <w:szCs w:val="22"/>
        </w:rPr>
        <w:t>terme imprécis</w:t>
      </w:r>
      <w:r>
        <w:rPr>
          <w:rFonts w:ascii="Open Sans" w:hAnsi="Open Sans" w:cs="Open Sans"/>
          <w:color w:val="263C46"/>
          <w:sz w:val="22"/>
          <w:szCs w:val="22"/>
        </w:rPr>
        <w:t>, mais dont la </w:t>
      </w:r>
      <w:r>
        <w:rPr>
          <w:rStyle w:val="lev"/>
          <w:rFonts w:ascii="Open Sans" w:hAnsi="Open Sans" w:cs="Open Sans"/>
          <w:color w:val="263C46"/>
          <w:sz w:val="22"/>
          <w:szCs w:val="22"/>
        </w:rPr>
        <w:t>durée minimale</w:t>
      </w:r>
      <w:r>
        <w:rPr>
          <w:rFonts w:ascii="Open Sans" w:hAnsi="Open Sans" w:cs="Open Sans"/>
          <w:color w:val="263C46"/>
          <w:sz w:val="22"/>
          <w:szCs w:val="22"/>
        </w:rPr>
        <w:t> prévue au contrat de travail est</w:t>
      </w:r>
      <w:r>
        <w:rPr>
          <w:rStyle w:val="lev"/>
          <w:rFonts w:ascii="Open Sans" w:hAnsi="Open Sans" w:cs="Open Sans"/>
          <w:color w:val="263C46"/>
          <w:sz w:val="22"/>
          <w:szCs w:val="22"/>
        </w:rPr>
        <w:t> inférieure ou égale à 2 mois.</w:t>
      </w:r>
    </w:p>
    <w:p w14:paraId="5C1939AD"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Fonts w:ascii="Open Sans" w:hAnsi="Open Sans" w:cs="Open Sans"/>
          <w:color w:val="263C46"/>
          <w:sz w:val="21"/>
          <w:szCs w:val="21"/>
        </w:rPr>
        <w:t>Par tolérance, cette règle peut aussi jouer pour les </w:t>
      </w:r>
      <w:r>
        <w:rPr>
          <w:rStyle w:val="lev"/>
          <w:rFonts w:ascii="Open Sans" w:hAnsi="Open Sans" w:cs="Open Sans"/>
          <w:color w:val="263C46"/>
          <w:sz w:val="21"/>
          <w:szCs w:val="21"/>
        </w:rPr>
        <w:t>étudiants en convention de stage</w:t>
      </w:r>
      <w:r>
        <w:rPr>
          <w:rFonts w:ascii="Open Sans" w:hAnsi="Open Sans" w:cs="Open Sans"/>
          <w:color w:val="263C46"/>
          <w:sz w:val="21"/>
          <w:szCs w:val="21"/>
        </w:rPr>
        <w:t> conclue pour une durée inférieure ou égale à deux mois (</w:t>
      </w:r>
      <w:hyperlink r:id="rId4" w:anchor="240" w:tgtFrame="_blank" w:history="1">
        <w:r>
          <w:rPr>
            <w:rStyle w:val="Lienhypertexte"/>
            <w:rFonts w:ascii="Open Sans" w:hAnsi="Open Sans" w:cs="Open Sans"/>
            <w:color w:val="263C46"/>
            <w:sz w:val="21"/>
            <w:szCs w:val="21"/>
          </w:rPr>
          <w:t>BOFiP-IR-PAS-20-20-30-10-§ 240-26/06/2023</w:t>
        </w:r>
      </w:hyperlink>
      <w:r>
        <w:rPr>
          <w:rFonts w:ascii="Open Sans" w:hAnsi="Open Sans" w:cs="Open Sans"/>
          <w:color w:val="263C46"/>
          <w:sz w:val="21"/>
          <w:szCs w:val="21"/>
        </w:rPr>
        <w:t>).</w:t>
      </w:r>
    </w:p>
    <w:p w14:paraId="4EC68DAB"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Fonts w:ascii="Open Sans" w:hAnsi="Open Sans" w:cs="Open Sans"/>
          <w:color w:val="263C46"/>
          <w:sz w:val="21"/>
          <w:szCs w:val="21"/>
        </w:rPr>
        <w:t>Dans la limite des </w:t>
      </w:r>
      <w:r>
        <w:rPr>
          <w:rStyle w:val="lev"/>
          <w:rFonts w:ascii="Open Sans" w:hAnsi="Open Sans" w:cs="Open Sans"/>
          <w:color w:val="263C46"/>
          <w:sz w:val="21"/>
          <w:szCs w:val="21"/>
        </w:rPr>
        <w:t>deux premiers mois d’embauche</w:t>
      </w:r>
      <w:r>
        <w:rPr>
          <w:rFonts w:ascii="Open Sans" w:hAnsi="Open Sans" w:cs="Open Sans"/>
          <w:color w:val="263C46"/>
          <w:sz w:val="21"/>
          <w:szCs w:val="21"/>
        </w:rPr>
        <w:t>, l’employeur applique les grilles mensuelles directement (sans prorata lié une éventuelle périodicité de versement de la rémunération autre que mensuelle) et après avoir appliqué à l’assiette du PAS un </w:t>
      </w:r>
      <w:r>
        <w:rPr>
          <w:rStyle w:val="lev"/>
          <w:rFonts w:ascii="Open Sans" w:hAnsi="Open Sans" w:cs="Open Sans"/>
          <w:color w:val="263C46"/>
          <w:sz w:val="21"/>
          <w:szCs w:val="21"/>
        </w:rPr>
        <w:t>abattement</w:t>
      </w:r>
      <w:r>
        <w:rPr>
          <w:rFonts w:ascii="Open Sans" w:hAnsi="Open Sans" w:cs="Open Sans"/>
          <w:color w:val="263C46"/>
          <w:sz w:val="21"/>
          <w:szCs w:val="21"/>
        </w:rPr>
        <w:t> égal à 50 % du SMIC net imposable.</w:t>
      </w:r>
    </w:p>
    <w:p w14:paraId="3235C193" w14:textId="14F4AC3C" w:rsidR="00C15726" w:rsidRDefault="00C15726" w:rsidP="00C15726">
      <w:pPr>
        <w:pStyle w:val="texte"/>
        <w:spacing w:before="300" w:beforeAutospacing="0" w:after="0" w:afterAutospacing="0"/>
        <w:ind w:left="150" w:right="150"/>
        <w:rPr>
          <w:rFonts w:ascii="Open Sans" w:hAnsi="Open Sans" w:cs="Open Sans"/>
          <w:color w:val="263C46"/>
          <w:sz w:val="21"/>
          <w:szCs w:val="21"/>
        </w:rPr>
      </w:pPr>
      <w:r>
        <w:rPr>
          <w:rStyle w:val="lev"/>
          <w:rFonts w:ascii="Open Sans" w:hAnsi="Open Sans" w:cs="Open Sans"/>
          <w:color w:val="263C46"/>
          <w:sz w:val="21"/>
          <w:szCs w:val="21"/>
        </w:rPr>
        <w:t>Abattement d'1/2 SMIC au 1</w:t>
      </w:r>
      <w:r>
        <w:rPr>
          <w:rStyle w:val="lev"/>
          <w:rFonts w:ascii="Open Sans" w:hAnsi="Open Sans" w:cs="Open Sans"/>
          <w:color w:val="263C46"/>
          <w:sz w:val="16"/>
          <w:szCs w:val="16"/>
          <w:vertAlign w:val="superscript"/>
        </w:rPr>
        <w:t>er</w:t>
      </w:r>
      <w:r>
        <w:rPr>
          <w:rStyle w:val="lev"/>
          <w:rFonts w:ascii="Open Sans" w:hAnsi="Open Sans" w:cs="Open Sans"/>
          <w:color w:val="263C46"/>
          <w:sz w:val="21"/>
          <w:szCs w:val="21"/>
        </w:rPr>
        <w:t> janvier 2024 : 725 €. </w:t>
      </w:r>
      <w:r>
        <w:rPr>
          <w:rFonts w:ascii="Open Sans" w:hAnsi="Open Sans" w:cs="Open Sans"/>
          <w:color w:val="263C46"/>
          <w:sz w:val="21"/>
          <w:szCs w:val="21"/>
        </w:rPr>
        <w:t>- Le SMIC horaire ayant été porté à 11,65 € au 1</w:t>
      </w:r>
      <w:r>
        <w:rPr>
          <w:rFonts w:ascii="Open Sans" w:hAnsi="Open Sans" w:cs="Open Sans"/>
          <w:color w:val="263C46"/>
          <w:sz w:val="16"/>
          <w:szCs w:val="16"/>
          <w:vertAlign w:val="superscript"/>
        </w:rPr>
        <w:t>er </w:t>
      </w:r>
      <w:r>
        <w:rPr>
          <w:rFonts w:ascii="Open Sans" w:hAnsi="Open Sans" w:cs="Open Sans"/>
          <w:color w:val="263C46"/>
          <w:sz w:val="21"/>
          <w:szCs w:val="21"/>
        </w:rPr>
        <w:t>janvier 2024</w:t>
      </w:r>
      <w:r>
        <w:rPr>
          <w:rFonts w:ascii="Open Sans" w:hAnsi="Open Sans" w:cs="Open Sans"/>
          <w:color w:val="263C46"/>
          <w:sz w:val="21"/>
          <w:szCs w:val="21"/>
        </w:rPr>
        <w:t xml:space="preserve">, </w:t>
      </w:r>
      <w:r>
        <w:rPr>
          <w:rFonts w:ascii="Open Sans" w:hAnsi="Open Sans" w:cs="Open Sans"/>
          <w:color w:val="263C46"/>
          <w:sz w:val="21"/>
          <w:szCs w:val="21"/>
        </w:rPr>
        <w:t>le montant de cet abattement a donc été lui aussi revalorisé.</w:t>
      </w:r>
    </w:p>
    <w:p w14:paraId="3A4A56B4" w14:textId="77777777" w:rsidR="00C15726" w:rsidRDefault="00C15726" w:rsidP="00C15726">
      <w:pPr>
        <w:pStyle w:val="texte"/>
        <w:spacing w:before="300" w:beforeAutospacing="0" w:after="0" w:afterAutospacing="0"/>
        <w:ind w:left="150" w:right="150"/>
        <w:jc w:val="both"/>
        <w:rPr>
          <w:rFonts w:ascii="Open Sans" w:hAnsi="Open Sans" w:cs="Open Sans"/>
          <w:color w:val="263C46"/>
          <w:sz w:val="21"/>
          <w:szCs w:val="21"/>
        </w:rPr>
      </w:pPr>
      <w:r>
        <w:rPr>
          <w:rStyle w:val="lev"/>
          <w:rFonts w:ascii="Open Sans" w:hAnsi="Open Sans" w:cs="Open Sans"/>
          <w:color w:val="263C46"/>
          <w:sz w:val="21"/>
          <w:szCs w:val="21"/>
        </w:rPr>
        <w:t>Point de vigilance. -</w:t>
      </w:r>
      <w:r>
        <w:rPr>
          <w:rFonts w:ascii="Open Sans" w:hAnsi="Open Sans" w:cs="Open Sans"/>
          <w:color w:val="263C46"/>
          <w:sz w:val="21"/>
          <w:szCs w:val="21"/>
        </w:rPr>
        <w:t> Rappelons que si l’employeur dispose d’un taux de PAS personnalisé en cours de validité pour le salarié, il doit appliquer ce taux au salarié concerné (sans abattement, bien entendu), quelle que soit la durée de son contrat. Plus généralement, la grille de taux par défaut cesse de s’appliquer dès lors que l’employeur dispose du taux propre au salarié calculé et transmis par l’administration fiscale.</w:t>
      </w:r>
    </w:p>
    <w:p w14:paraId="46A60980" w14:textId="77777777" w:rsidR="006B2DFD" w:rsidRDefault="006B2DFD"/>
    <w:p w14:paraId="15E1918C" w14:textId="65040F72" w:rsidR="00451DDB" w:rsidRDefault="00451DDB">
      <w:r>
        <w:t xml:space="preserve">Chat GPT a résumé ce texte de la façon suivante </w:t>
      </w:r>
    </w:p>
    <w:p w14:paraId="68009A48" w14:textId="34FEC2BB" w:rsidR="00451DDB" w:rsidRPr="00451DDB" w:rsidRDefault="00451DDB" w:rsidP="00451DDB">
      <w:pPr>
        <w:jc w:val="both"/>
        <w:rPr>
          <w:rFonts w:ascii="Times New Roman" w:hAnsi="Times New Roman" w:cs="Times New Roman"/>
          <w:sz w:val="24"/>
          <w:szCs w:val="24"/>
        </w:rPr>
      </w:pPr>
      <w:r>
        <w:rPr>
          <w:rFonts w:ascii="Times New Roman" w:hAnsi="Times New Roman" w:cs="Times New Roman"/>
          <w:color w:val="0D0D0D"/>
          <w:sz w:val="24"/>
          <w:szCs w:val="24"/>
          <w:shd w:val="clear" w:color="auto" w:fill="FFFFFF"/>
        </w:rPr>
        <w:t>« </w:t>
      </w:r>
      <w:r w:rsidRPr="00451DDB">
        <w:rPr>
          <w:rFonts w:ascii="Times New Roman" w:hAnsi="Times New Roman" w:cs="Times New Roman"/>
          <w:color w:val="0D0D0D"/>
          <w:sz w:val="24"/>
          <w:szCs w:val="24"/>
          <w:shd w:val="clear" w:color="auto" w:fill="FFFFFF"/>
        </w:rPr>
        <w:t>Ce texte aborde les modalités spécifiques d'application du prélèvement à la source (PAS) sur les contrats courts. Les dispositions du PAS s'appliquent notamment aux CDD de courte durée, c'est-à-dire ceux dont le terme initial ne dépasse pas 2 mois, ainsi qu'aux contrats de mission d'intérimaires de même durée. Les étudiants en stage pour une période inférieure ou égale à deux mois sont également concernés par ces règles. Pendant les deux premiers mois d'embauche, l'employeur applique directement les grilles mensuelles du PAS, en déduisant un abattement équivalent à 50 % du SMIC net imposable. Ce montant d'abattement est ajusté chaque année en fonction de l'évolution du SMIC horaire. Il est également souligné qu'en présence d'un taux de PAS personnalisé pour le salarié, ce taux doit être appliqué, sans abattement, quelle que soit la durée du contrat. Enfin, il est précisé que la grille de taux par défaut cesse de s'appliquer dès que l'employeur dispose du taux spécifique au salarié fourni par l'administration fiscale.</w:t>
      </w:r>
      <w:r>
        <w:rPr>
          <w:rFonts w:ascii="Times New Roman" w:hAnsi="Times New Roman" w:cs="Times New Roman"/>
          <w:color w:val="0D0D0D"/>
          <w:sz w:val="24"/>
          <w:szCs w:val="24"/>
          <w:shd w:val="clear" w:color="auto" w:fill="FFFFFF"/>
        </w:rPr>
        <w:t> »</w:t>
      </w:r>
    </w:p>
    <w:sectPr w:rsidR="00451DDB" w:rsidRPr="00451D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726"/>
    <w:rsid w:val="001D5F92"/>
    <w:rsid w:val="00451DDB"/>
    <w:rsid w:val="0047139F"/>
    <w:rsid w:val="006B2DFD"/>
    <w:rsid w:val="00C157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D85F7"/>
  <w15:chartTrackingRefBased/>
  <w15:docId w15:val="{7C950185-E431-4935-95CA-880F7EA5E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15726"/>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C15726"/>
    <w:rPr>
      <w:color w:val="0000FF"/>
      <w:u w:val="single"/>
    </w:rPr>
  </w:style>
  <w:style w:type="paragraph" w:customStyle="1" w:styleId="texte">
    <w:name w:val="texte"/>
    <w:basedOn w:val="Normal"/>
    <w:rsid w:val="00C15726"/>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C15726"/>
    <w:rPr>
      <w:b/>
      <w:bCs/>
    </w:rPr>
  </w:style>
  <w:style w:type="character" w:styleId="Accentuation">
    <w:name w:val="Emphasis"/>
    <w:basedOn w:val="Policepardfaut"/>
    <w:uiPriority w:val="20"/>
    <w:qFormat/>
    <w:rsid w:val="00C157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fpaye.grouperf.com/lien_bofip/?base=BOFiP&amp;mode=article&amp;orig=REVUE_RF_FH&amp;sp=/Commentaire/IR/11252-PGP/2023-06-26/data.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453</Words>
  <Characters>2495</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2024-03-31T15:27:00Z</dcterms:created>
  <dcterms:modified xsi:type="dcterms:W3CDTF">2024-03-31T15:34:00Z</dcterms:modified>
</cp:coreProperties>
</file>