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AF372" w14:textId="77777777" w:rsidR="00805DC0" w:rsidRDefault="00805DC0">
      <w:pPr>
        <w:pStyle w:val="Standard"/>
        <w:spacing w:before="28" w:after="28" w:line="240" w:lineRule="auto"/>
        <w:jc w:val="center"/>
        <w:rPr>
          <w:rFonts w:ascii="Times New Roman" w:eastAsia="Times New Roman" w:hAnsi="Times New Roman" w:cs="Times New Roman"/>
          <w:b/>
          <w:bCs/>
          <w:sz w:val="48"/>
          <w:szCs w:val="48"/>
          <w:lang w:eastAsia="fr-FR"/>
        </w:rPr>
      </w:pPr>
    </w:p>
    <w:p w14:paraId="7E6A3B0C" w14:textId="77777777" w:rsidR="00805DC0" w:rsidRDefault="00956C8C">
      <w:pPr>
        <w:pStyle w:val="Standard"/>
        <w:spacing w:before="28" w:after="28" w:line="240" w:lineRule="auto"/>
        <w:jc w:val="center"/>
        <w:rPr>
          <w:rFonts w:ascii="Times New Roman" w:eastAsia="Times New Roman" w:hAnsi="Times New Roman" w:cs="Times New Roman"/>
          <w:b/>
          <w:bCs/>
          <w:sz w:val="48"/>
          <w:szCs w:val="48"/>
          <w:lang w:eastAsia="fr-FR"/>
        </w:rPr>
      </w:pPr>
      <w:r>
        <w:rPr>
          <w:rFonts w:ascii="Times New Roman" w:eastAsia="Times New Roman" w:hAnsi="Times New Roman" w:cs="Times New Roman"/>
          <w:b/>
          <w:bCs/>
          <w:sz w:val="48"/>
          <w:szCs w:val="48"/>
          <w:lang w:eastAsia="fr-FR"/>
        </w:rPr>
        <w:t>Avantage en nature logement</w:t>
      </w:r>
    </w:p>
    <w:p w14:paraId="17C294C9" w14:textId="77777777" w:rsidR="001C6994" w:rsidRDefault="001C6994">
      <w:pPr>
        <w:pStyle w:val="Standard"/>
        <w:spacing w:before="28" w:after="28" w:line="240" w:lineRule="auto"/>
        <w:jc w:val="center"/>
        <w:rPr>
          <w:rFonts w:ascii="Times New Roman" w:eastAsia="Times New Roman" w:hAnsi="Times New Roman" w:cs="Times New Roman"/>
          <w:b/>
          <w:bCs/>
          <w:sz w:val="48"/>
          <w:szCs w:val="48"/>
          <w:lang w:eastAsia="fr-FR"/>
        </w:rPr>
      </w:pPr>
    </w:p>
    <w:p w14:paraId="4C682502" w14:textId="51F816AD" w:rsidR="00805DC0" w:rsidRPr="001C6994" w:rsidRDefault="001C6994">
      <w:pPr>
        <w:pStyle w:val="Standard"/>
        <w:spacing w:before="28" w:after="28" w:line="240" w:lineRule="auto"/>
        <w:jc w:val="center"/>
        <w:rPr>
          <w:rFonts w:ascii="Times New Roman" w:eastAsia="Times New Roman" w:hAnsi="Times New Roman" w:cs="Times New Roman"/>
          <w:b/>
          <w:bCs/>
          <w:sz w:val="18"/>
          <w:szCs w:val="18"/>
          <w:lang w:eastAsia="fr-FR"/>
        </w:rPr>
      </w:pPr>
      <w:r w:rsidRPr="001C6994">
        <w:rPr>
          <w:rFonts w:ascii="Times New Roman" w:eastAsia="Times New Roman" w:hAnsi="Times New Roman" w:cs="Times New Roman"/>
          <w:b/>
          <w:bCs/>
          <w:sz w:val="18"/>
          <w:szCs w:val="18"/>
          <w:lang w:eastAsia="fr-FR"/>
        </w:rPr>
        <w:t>https://boss.gouv.fr/portail/accueil/avantages-en-nature-et-frais-pro/avantages-en-nature.html</w:t>
      </w:r>
    </w:p>
    <w:p w14:paraId="422F82BC" w14:textId="77777777" w:rsidR="001C6994" w:rsidRDefault="001C6994">
      <w:pPr>
        <w:pStyle w:val="Standard"/>
        <w:spacing w:before="28" w:after="28" w:line="240" w:lineRule="auto"/>
        <w:rPr>
          <w:rFonts w:ascii="Times New Roman" w:eastAsia="Times New Roman" w:hAnsi="Times New Roman" w:cs="Times New Roman"/>
          <w:sz w:val="24"/>
          <w:szCs w:val="24"/>
          <w:lang w:eastAsia="fr-FR"/>
        </w:rPr>
      </w:pPr>
    </w:p>
    <w:p w14:paraId="52609C0F" w14:textId="5D87EA2C"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L’avantage en nature logement est constitué dès lors que l’employeur fournit, gratuitement ou pour un prix modique, un logement au salarié.</w:t>
      </w:r>
    </w:p>
    <w:p w14:paraId="5F4FDF96"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6416C2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À noter…</w:t>
      </w:r>
      <w:r>
        <w:rPr>
          <w:rFonts w:ascii="Times New Roman" w:eastAsia="Times New Roman" w:hAnsi="Times New Roman" w:cs="Times New Roman"/>
          <w:sz w:val="24"/>
          <w:szCs w:val="24"/>
          <w:lang w:eastAsia="fr-FR"/>
        </w:rPr>
        <w:t xml:space="preserve"> La prise en charge par l’employeur du loyer dû par le salarié ne constitue pas un avantage en nature, mais un avantage en argent, pour lequel les règles afférentes à l’avantage en nature logement ne sont pas applicables (voir plus loin).</w:t>
      </w:r>
    </w:p>
    <w:p w14:paraId="66DF4599"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E7DDD38" w14:textId="77777777" w:rsidR="00805DC0" w:rsidRDefault="00956C8C">
      <w:pPr>
        <w:pStyle w:val="Standard"/>
        <w:spacing w:before="28" w:after="28" w:line="240" w:lineRule="auto"/>
        <w:rPr>
          <w:rFonts w:ascii="Times New Roman" w:eastAsia="Times New Roman" w:hAnsi="Times New Roman" w:cs="Times New Roman"/>
          <w:b/>
          <w:bCs/>
          <w:sz w:val="36"/>
          <w:szCs w:val="36"/>
          <w:lang w:eastAsia="fr-FR"/>
        </w:rPr>
      </w:pPr>
      <w:bookmarkStart w:id="0" w:name="1"/>
      <w:bookmarkEnd w:id="0"/>
      <w:r>
        <w:rPr>
          <w:rFonts w:ascii="Times New Roman" w:eastAsia="Times New Roman" w:hAnsi="Times New Roman" w:cs="Times New Roman"/>
          <w:b/>
          <w:bCs/>
          <w:sz w:val="36"/>
          <w:szCs w:val="36"/>
          <w:lang w:eastAsia="fr-FR"/>
        </w:rPr>
        <w:t>Évaluation pour l’assiette des cotisations : un choix à faire</w:t>
      </w:r>
    </w:p>
    <w:p w14:paraId="5D9C70A1" w14:textId="77777777" w:rsidR="00805DC0" w:rsidRDefault="00805DC0">
      <w:pPr>
        <w:pStyle w:val="Standard"/>
        <w:spacing w:before="28" w:after="28" w:line="240" w:lineRule="auto"/>
        <w:rPr>
          <w:rFonts w:ascii="Times New Roman" w:eastAsia="Times New Roman" w:hAnsi="Times New Roman" w:cs="Times New Roman"/>
          <w:b/>
          <w:bCs/>
          <w:sz w:val="36"/>
          <w:szCs w:val="36"/>
          <w:lang w:eastAsia="fr-FR"/>
        </w:rPr>
      </w:pPr>
    </w:p>
    <w:p w14:paraId="5599AEAC"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Option</w:t>
      </w:r>
    </w:p>
    <w:p w14:paraId="03CEE2B1"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2DB4A7D"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L’employeur a le choix entre :</w:t>
      </w:r>
    </w:p>
    <w:p w14:paraId="21C55B0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B40F4AE" w14:textId="77777777" w:rsidR="00805DC0" w:rsidRDefault="00956C8C">
      <w:pPr>
        <w:pStyle w:val="Standard"/>
        <w:numPr>
          <w:ilvl w:val="0"/>
          <w:numId w:val="1"/>
        </w:numPr>
        <w:spacing w:before="28" w:after="28" w:line="240" w:lineRule="auto"/>
      </w:pPr>
      <w:r>
        <w:rPr>
          <w:rFonts w:ascii="Times New Roman" w:eastAsia="Times New Roman" w:hAnsi="Times New Roman" w:cs="Times New Roman"/>
          <w:sz w:val="24"/>
          <w:szCs w:val="24"/>
          <w:u w:val="single"/>
          <w:lang w:eastAsia="fr-FR"/>
        </w:rPr>
        <w:t>l’évaluation forfaitaire</w:t>
      </w:r>
      <w:r>
        <w:rPr>
          <w:rFonts w:ascii="Times New Roman" w:eastAsia="Times New Roman" w:hAnsi="Times New Roman" w:cs="Times New Roman"/>
          <w:sz w:val="24"/>
          <w:szCs w:val="24"/>
          <w:lang w:eastAsia="fr-FR"/>
        </w:rPr>
        <w:t xml:space="preserve"> en fonction d’un barème, sauf pour l’avantage en nature logement octroyé en contrepartie du mandat social à certains dirigeants ;</w:t>
      </w:r>
    </w:p>
    <w:p w14:paraId="75F77D57"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2907369" w14:textId="77777777" w:rsidR="00805DC0" w:rsidRDefault="00956C8C">
      <w:pPr>
        <w:pStyle w:val="Standard"/>
        <w:numPr>
          <w:ilvl w:val="0"/>
          <w:numId w:val="1"/>
        </w:numPr>
        <w:spacing w:before="28" w:after="28" w:line="240" w:lineRule="auto"/>
      </w:pPr>
      <w:r>
        <w:rPr>
          <w:rFonts w:ascii="Times New Roman" w:eastAsia="Times New Roman" w:hAnsi="Times New Roman" w:cs="Times New Roman"/>
          <w:sz w:val="24"/>
          <w:szCs w:val="24"/>
          <w:u w:val="single"/>
          <w:lang w:eastAsia="fr-FR"/>
        </w:rPr>
        <w:t>l’évaluation sur la base de la valeur locative</w:t>
      </w:r>
      <w:r>
        <w:rPr>
          <w:rFonts w:ascii="Times New Roman" w:eastAsia="Times New Roman" w:hAnsi="Times New Roman" w:cs="Times New Roman"/>
          <w:sz w:val="24"/>
          <w:szCs w:val="24"/>
          <w:lang w:eastAsia="fr-FR"/>
        </w:rPr>
        <w:t>.</w:t>
      </w:r>
    </w:p>
    <w:p w14:paraId="6AA83FE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3A8B365"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 xml:space="preserve">L’option vaut pour une année entière et peut être différente pour chaque salarié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concerné.</w:t>
      </w:r>
    </w:p>
    <w:p w14:paraId="09F71D29"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8265DD9"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L’employeur peut revenir sur son choix entre l’évaluation forfaitaire et la valeur </w:t>
      </w:r>
      <w:r>
        <w:rPr>
          <w:rFonts w:ascii="Times New Roman" w:eastAsia="Times New Roman" w:hAnsi="Times New Roman" w:cs="Times New Roman"/>
          <w:sz w:val="24"/>
          <w:szCs w:val="24"/>
          <w:lang w:eastAsia="fr-FR"/>
        </w:rPr>
        <w:tab/>
        <w:t xml:space="preserve">locative, en fin d’exercice pour l’année entière écoulée (la rétroactivité ne peut </w:t>
      </w:r>
      <w:r>
        <w:rPr>
          <w:rFonts w:ascii="Times New Roman" w:eastAsia="Times New Roman" w:hAnsi="Times New Roman" w:cs="Times New Roman"/>
          <w:sz w:val="24"/>
          <w:szCs w:val="24"/>
          <w:lang w:eastAsia="fr-FR"/>
        </w:rPr>
        <w:tab/>
        <w:t>concerner les années antérieures).</w:t>
      </w:r>
    </w:p>
    <w:p w14:paraId="22EB3144"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549A0EC" w14:textId="35FB7FD1" w:rsidR="00805DC0" w:rsidRPr="00ED0651"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r>
    </w:p>
    <w:p w14:paraId="24AF7BEA"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de redressement URSSAF</w:t>
      </w:r>
    </w:p>
    <w:p w14:paraId="7B319559"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383B7344"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L’employeur qui n’a pas cotisé sur l’avantage en nature logement subit un </w:t>
      </w:r>
      <w:r>
        <w:rPr>
          <w:rFonts w:ascii="Times New Roman" w:eastAsia="Times New Roman" w:hAnsi="Times New Roman" w:cs="Times New Roman"/>
          <w:sz w:val="24"/>
          <w:szCs w:val="24"/>
          <w:lang w:eastAsia="fr-FR"/>
        </w:rPr>
        <w:tab/>
        <w:t xml:space="preserve">redressement effectué sur la base de l’évaluation forfaitaire ou, pour les personnes </w:t>
      </w:r>
      <w:r>
        <w:rPr>
          <w:rFonts w:ascii="Times New Roman" w:eastAsia="Times New Roman" w:hAnsi="Times New Roman" w:cs="Times New Roman"/>
          <w:sz w:val="24"/>
          <w:szCs w:val="24"/>
          <w:lang w:eastAsia="fr-FR"/>
        </w:rPr>
        <w:tab/>
        <w:t>exclues de l’application du forfait, sur la base de la valeur réelle.</w:t>
      </w:r>
    </w:p>
    <w:p w14:paraId="5BC1BBF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254B86A"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1" w:name="2"/>
      <w:bookmarkEnd w:id="1"/>
      <w:r>
        <w:rPr>
          <w:rFonts w:ascii="Times New Roman" w:eastAsia="Times New Roman" w:hAnsi="Times New Roman" w:cs="Times New Roman"/>
          <w:b/>
          <w:bCs/>
          <w:sz w:val="36"/>
          <w:szCs w:val="36"/>
          <w:lang w:eastAsia="fr-FR"/>
        </w:rPr>
        <w:t>Évaluation forfaitaire pour l’assiette des cotisations</w:t>
      </w:r>
    </w:p>
    <w:p w14:paraId="7733917F"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1061B0EC"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Barème réglementaire</w:t>
      </w:r>
    </w:p>
    <w:p w14:paraId="0ECD03E9"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6A1BC1A2"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lastRenderedPageBreak/>
        <w:tab/>
      </w:r>
      <w:r>
        <w:rPr>
          <w:rFonts w:ascii="Times New Roman" w:eastAsia="Times New Roman" w:hAnsi="Times New Roman" w:cs="Times New Roman"/>
          <w:sz w:val="24"/>
          <w:szCs w:val="24"/>
          <w:lang w:eastAsia="fr-FR"/>
        </w:rPr>
        <w:t>L’évaluation forfaitaire intègre certains avantages accessoires (</w:t>
      </w:r>
      <w:r>
        <w:rPr>
          <w:rFonts w:ascii="Times New Roman" w:eastAsia="Times New Roman" w:hAnsi="Times New Roman" w:cs="Times New Roman"/>
          <w:b/>
          <w:sz w:val="24"/>
          <w:szCs w:val="24"/>
          <w:lang w:eastAsia="fr-FR"/>
        </w:rPr>
        <w:t xml:space="preserve">eau, gaz, électricité, </w:t>
      </w:r>
      <w:r>
        <w:rPr>
          <w:rFonts w:ascii="Times New Roman" w:eastAsia="Times New Roman" w:hAnsi="Times New Roman" w:cs="Times New Roman"/>
          <w:b/>
          <w:sz w:val="24"/>
          <w:szCs w:val="24"/>
          <w:lang w:eastAsia="fr-FR"/>
        </w:rPr>
        <w:tab/>
        <w:t>garage</w:t>
      </w:r>
      <w:r>
        <w:rPr>
          <w:rFonts w:ascii="Times New Roman" w:eastAsia="Times New Roman" w:hAnsi="Times New Roman" w:cs="Times New Roman"/>
          <w:sz w:val="24"/>
          <w:szCs w:val="24"/>
          <w:lang w:eastAsia="fr-FR"/>
        </w:rPr>
        <w:t>). Elle repose sur la distinction suivante :</w:t>
      </w:r>
    </w:p>
    <w:p w14:paraId="45E04256"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les logements ne comportant qu’une pièce principale, il suffit de se reporter au barème correspondant ;</w:t>
      </w:r>
    </w:p>
    <w:p w14:paraId="475DB8F4"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pour ceux comportant plusieurs pièces principales, il convient de se reporter au barème des logements comportant plusieurs pièces principales et de multiplier la valeur fixée par le nombre de pièces principales.</w:t>
      </w:r>
    </w:p>
    <w:p w14:paraId="718D4F1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51F24A1" w14:textId="77777777" w:rsidR="00805DC0"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ab/>
        <w:t>À noter…</w:t>
      </w:r>
      <w:r>
        <w:rPr>
          <w:rFonts w:ascii="Times New Roman" w:eastAsia="Times New Roman" w:hAnsi="Times New Roman" w:cs="Times New Roman"/>
          <w:sz w:val="24"/>
          <w:szCs w:val="24"/>
          <w:lang w:eastAsia="fr-FR"/>
        </w:rPr>
        <w:t xml:space="preserve"> Par « pièces principales », il faut entendre celles qui sont destinées au </w:t>
      </w:r>
      <w:r>
        <w:rPr>
          <w:rFonts w:ascii="Times New Roman" w:eastAsia="Times New Roman" w:hAnsi="Times New Roman" w:cs="Times New Roman"/>
          <w:sz w:val="24"/>
          <w:szCs w:val="24"/>
          <w:lang w:eastAsia="fr-FR"/>
        </w:rPr>
        <w:tab/>
        <w:t xml:space="preserve">séjour et au sommeil, éventuellement des chambres isolées. </w:t>
      </w:r>
      <w:r w:rsidRPr="00956C8C">
        <w:rPr>
          <w:rFonts w:ascii="Times New Roman" w:eastAsia="Times New Roman" w:hAnsi="Times New Roman" w:cs="Times New Roman"/>
          <w:b/>
          <w:sz w:val="24"/>
          <w:szCs w:val="24"/>
          <w:lang w:eastAsia="fr-FR"/>
        </w:rPr>
        <w:t xml:space="preserve">Il faut ignorer les pièces </w:t>
      </w:r>
      <w:r w:rsidRPr="00956C8C">
        <w:rPr>
          <w:rFonts w:ascii="Times New Roman" w:eastAsia="Times New Roman" w:hAnsi="Times New Roman" w:cs="Times New Roman"/>
          <w:b/>
          <w:sz w:val="24"/>
          <w:szCs w:val="24"/>
          <w:lang w:eastAsia="fr-FR"/>
        </w:rPr>
        <w:tab/>
        <w:t>de service</w:t>
      </w:r>
      <w:r>
        <w:rPr>
          <w:rFonts w:ascii="Times New Roman" w:eastAsia="Times New Roman" w:hAnsi="Times New Roman" w:cs="Times New Roman"/>
          <w:sz w:val="24"/>
          <w:szCs w:val="24"/>
          <w:lang w:eastAsia="fr-FR"/>
        </w:rPr>
        <w:t xml:space="preserve"> (cuisines, salle d’eau, etc.).</w:t>
      </w:r>
    </w:p>
    <w:p w14:paraId="0ED54B9B" w14:textId="77777777" w:rsidR="001C6994" w:rsidRDefault="001C6994" w:rsidP="00956C8C">
      <w:pPr>
        <w:pStyle w:val="Standard"/>
        <w:spacing w:before="28" w:after="28" w:line="240" w:lineRule="auto"/>
        <w:jc w:val="both"/>
      </w:pPr>
    </w:p>
    <w:p w14:paraId="0E05B04B" w14:textId="67EA8187" w:rsidR="001C6994" w:rsidRDefault="00ED0651" w:rsidP="00956C8C">
      <w:pPr>
        <w:pStyle w:val="Standard"/>
        <w:spacing w:before="28" w:after="28" w:line="240" w:lineRule="auto"/>
        <w:jc w:val="both"/>
        <w:rPr>
          <w:rFonts w:ascii="Times New Roman" w:hAnsi="Times New Roman" w:cs="Times New Roman"/>
        </w:rPr>
      </w:pPr>
      <w:r>
        <w:rPr>
          <w:rFonts w:ascii="Times New Roman" w:hAnsi="Times New Roman" w:cs="Times New Roman"/>
        </w:rPr>
        <w:t>« </w:t>
      </w:r>
      <w:r w:rsidR="001C6994" w:rsidRPr="001C6994">
        <w:rPr>
          <w:rFonts w:ascii="Times New Roman" w:hAnsi="Times New Roman" w:cs="Times New Roman"/>
        </w:rPr>
        <w:t>Pour être qualifiées de pièces principales, les pièces doivent être pourvues d’un ouvrant et de surfaces transparentes donnant sur l’extérieur.</w:t>
      </w:r>
      <w:r>
        <w:rPr>
          <w:rFonts w:ascii="Times New Roman" w:hAnsi="Times New Roman" w:cs="Times New Roman"/>
        </w:rPr>
        <w:t> »</w:t>
      </w:r>
    </w:p>
    <w:p w14:paraId="7334DAE0" w14:textId="77777777" w:rsidR="001C6994" w:rsidRDefault="001C6994" w:rsidP="00956C8C">
      <w:pPr>
        <w:pStyle w:val="Standard"/>
        <w:spacing w:before="28" w:after="28" w:line="240" w:lineRule="auto"/>
        <w:jc w:val="both"/>
      </w:pPr>
    </w:p>
    <w:p w14:paraId="45F25837" w14:textId="145FA4D0" w:rsidR="001C6994" w:rsidRPr="001C6994" w:rsidRDefault="001C6994" w:rsidP="00956C8C">
      <w:pPr>
        <w:pStyle w:val="Standard"/>
        <w:spacing w:before="28" w:after="28" w:line="240" w:lineRule="auto"/>
        <w:jc w:val="both"/>
        <w:rPr>
          <w:rFonts w:ascii="Times New Roman" w:hAnsi="Times New Roman" w:cs="Times New Roman"/>
        </w:rPr>
      </w:pPr>
      <w:r w:rsidRPr="001C6994">
        <w:rPr>
          <w:rFonts w:ascii="Times New Roman" w:hAnsi="Times New Roman" w:cs="Times New Roman"/>
        </w:rPr>
        <w:t>Un logement de trois pièces</w:t>
      </w:r>
      <w:r>
        <w:rPr>
          <w:rFonts w:ascii="Times New Roman" w:hAnsi="Times New Roman" w:cs="Times New Roman"/>
        </w:rPr>
        <w:t>,</w:t>
      </w:r>
      <w:r w:rsidRPr="001C6994">
        <w:rPr>
          <w:rFonts w:ascii="Times New Roman" w:hAnsi="Times New Roman" w:cs="Times New Roman"/>
        </w:rPr>
        <w:t xml:space="preserve"> occupé par deux salariés</w:t>
      </w:r>
      <w:r>
        <w:rPr>
          <w:rFonts w:ascii="Times New Roman" w:hAnsi="Times New Roman" w:cs="Times New Roman"/>
        </w:rPr>
        <w:t> :</w:t>
      </w:r>
      <w:r w:rsidRPr="001C6994">
        <w:rPr>
          <w:rFonts w:ascii="Times New Roman" w:hAnsi="Times New Roman" w:cs="Times New Roman"/>
        </w:rPr>
        <w:t xml:space="preserve"> La détermination de l’avantage en nature logement s’effectue sur la base d'une pièce personnelle par salarié et de la pièce commune pour chacun des deux salariés. Il en résulte pour chacun d’eux un avantage en nature logement correspondant à deux pièces principales.</w:t>
      </w:r>
    </w:p>
    <w:p w14:paraId="26CD0C3B"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35B01D0"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Rémunération à prendre en compte</w:t>
      </w:r>
    </w:p>
    <w:p w14:paraId="75613BE3"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2E435D91" w14:textId="77777777" w:rsidR="00805DC0" w:rsidRPr="00956C8C" w:rsidRDefault="00956C8C" w:rsidP="00956C8C">
      <w:pPr>
        <w:pStyle w:val="Standard"/>
        <w:spacing w:before="28" w:after="28" w:line="240" w:lineRule="auto"/>
        <w:ind w:left="708" w:firstLine="57"/>
        <w:jc w:val="both"/>
        <w:rPr>
          <w:b/>
        </w:rPr>
      </w:pPr>
      <w:r>
        <w:rPr>
          <w:rFonts w:ascii="Times New Roman" w:eastAsia="Times New Roman" w:hAnsi="Times New Roman" w:cs="Times New Roman"/>
          <w:sz w:val="24"/>
          <w:szCs w:val="24"/>
          <w:lang w:eastAsia="fr-FR"/>
        </w:rPr>
        <w:t xml:space="preserve">La rémunération à prendre en compte s’entend du </w:t>
      </w:r>
      <w:r>
        <w:rPr>
          <w:rFonts w:ascii="Times New Roman" w:eastAsia="Times New Roman" w:hAnsi="Times New Roman" w:cs="Times New Roman"/>
          <w:b/>
          <w:bCs/>
          <w:sz w:val="26"/>
          <w:szCs w:val="26"/>
          <w:u w:val="single"/>
          <w:lang w:eastAsia="fr-FR"/>
        </w:rPr>
        <w:t>salaire brut mensuel</w:t>
      </w:r>
      <w:r>
        <w:rPr>
          <w:rFonts w:ascii="Times New Roman" w:eastAsia="Times New Roman" w:hAnsi="Times New Roman" w:cs="Times New Roman"/>
          <w:b/>
          <w:bCs/>
          <w:sz w:val="26"/>
          <w:szCs w:val="26"/>
          <w:lang w:eastAsia="fr-FR"/>
        </w:rPr>
        <w:t xml:space="preserve"> </w:t>
      </w:r>
      <w:r>
        <w:rPr>
          <w:rFonts w:ascii="Times New Roman" w:eastAsia="Times New Roman" w:hAnsi="Times New Roman" w:cs="Times New Roman"/>
          <w:sz w:val="24"/>
          <w:szCs w:val="24"/>
          <w:lang w:eastAsia="fr-FR"/>
        </w:rPr>
        <w:t xml:space="preserve">(rémunération principale, primes, gratifications, indemnités en espèces entrant normalement dans la base de cotisations sociales) </w:t>
      </w:r>
      <w:r w:rsidRPr="00956C8C">
        <w:rPr>
          <w:rFonts w:ascii="Times New Roman" w:eastAsia="Times New Roman" w:hAnsi="Times New Roman" w:cs="Times New Roman"/>
          <w:b/>
          <w:sz w:val="24"/>
          <w:szCs w:val="24"/>
          <w:lang w:eastAsia="fr-FR"/>
        </w:rPr>
        <w:t xml:space="preserve">avant incorporation de l’avantage </w:t>
      </w:r>
      <w:r>
        <w:rPr>
          <w:rFonts w:ascii="Times New Roman" w:eastAsia="Times New Roman" w:hAnsi="Times New Roman" w:cs="Times New Roman"/>
          <w:b/>
          <w:sz w:val="24"/>
          <w:szCs w:val="24"/>
          <w:lang w:eastAsia="fr-FR"/>
        </w:rPr>
        <w:t xml:space="preserve">en </w:t>
      </w:r>
      <w:r w:rsidRPr="00956C8C">
        <w:rPr>
          <w:rFonts w:ascii="Times New Roman" w:eastAsia="Times New Roman" w:hAnsi="Times New Roman" w:cs="Times New Roman"/>
          <w:b/>
          <w:sz w:val="24"/>
          <w:szCs w:val="24"/>
          <w:lang w:eastAsia="fr-FR"/>
        </w:rPr>
        <w:t>nature.</w:t>
      </w:r>
    </w:p>
    <w:p w14:paraId="69693EF1" w14:textId="77777777" w:rsidR="00805DC0" w:rsidRPr="00956C8C" w:rsidRDefault="00805DC0">
      <w:pPr>
        <w:pStyle w:val="Standard"/>
        <w:spacing w:before="28" w:after="28" w:line="240" w:lineRule="auto"/>
        <w:jc w:val="both"/>
        <w:rPr>
          <w:rFonts w:ascii="Times New Roman" w:eastAsia="Times New Roman" w:hAnsi="Times New Roman" w:cs="Times New Roman"/>
          <w:b/>
          <w:sz w:val="24"/>
          <w:szCs w:val="24"/>
          <w:lang w:eastAsia="fr-FR"/>
        </w:rPr>
      </w:pPr>
    </w:p>
    <w:p w14:paraId="05A09765"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Lorsque la rémunération mensuelle brute d’un salarié varie au cours de l’année, </w:t>
      </w:r>
      <w:r>
        <w:rPr>
          <w:rFonts w:ascii="Times New Roman" w:eastAsia="Times New Roman" w:hAnsi="Times New Roman" w:cs="Times New Roman"/>
          <w:sz w:val="24"/>
          <w:szCs w:val="24"/>
          <w:lang w:eastAsia="fr-FR"/>
        </w:rPr>
        <w:tab/>
        <w:t xml:space="preserve">l’employeur ne peut pas évaluer l’avantage en nature logement en fonction d’une </w:t>
      </w:r>
      <w:r>
        <w:rPr>
          <w:rFonts w:ascii="Times New Roman" w:eastAsia="Times New Roman" w:hAnsi="Times New Roman" w:cs="Times New Roman"/>
          <w:sz w:val="24"/>
          <w:szCs w:val="24"/>
          <w:lang w:eastAsia="fr-FR"/>
        </w:rPr>
        <w:tab/>
        <w:t xml:space="preserve">rémunération mensuelle moyenne, avec régularisation en fin d’année : </w:t>
      </w:r>
      <w:r>
        <w:rPr>
          <w:rFonts w:ascii="Times New Roman" w:eastAsia="Times New Roman" w:hAnsi="Times New Roman" w:cs="Times New Roman"/>
          <w:b/>
          <w:sz w:val="24"/>
          <w:szCs w:val="24"/>
          <w:u w:val="single"/>
          <w:lang w:eastAsia="fr-FR"/>
        </w:rPr>
        <w:t xml:space="preserve">l’évaluation du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u w:val="single"/>
          <w:lang w:eastAsia="fr-FR"/>
        </w:rPr>
        <w:t xml:space="preserve">logement peut donc varier de mois en mois en fonction de la rémunération </w:t>
      </w:r>
      <w:r>
        <w:rPr>
          <w:rFonts w:ascii="Times New Roman" w:eastAsia="Times New Roman" w:hAnsi="Times New Roman" w:cs="Times New Roman"/>
          <w:b/>
          <w:sz w:val="24"/>
          <w:szCs w:val="24"/>
          <w:lang w:eastAsia="fr-FR"/>
        </w:rPr>
        <w:tab/>
      </w:r>
      <w:r>
        <w:rPr>
          <w:rFonts w:ascii="Times New Roman" w:eastAsia="Times New Roman" w:hAnsi="Times New Roman" w:cs="Times New Roman"/>
          <w:b/>
          <w:sz w:val="24"/>
          <w:szCs w:val="24"/>
          <w:u w:val="single"/>
          <w:lang w:eastAsia="fr-FR"/>
        </w:rPr>
        <w:t>mensuelle.</w:t>
      </w:r>
    </w:p>
    <w:p w14:paraId="7CDCAA1F" w14:textId="77777777" w:rsidR="00805DC0" w:rsidRDefault="00805DC0">
      <w:pPr>
        <w:pStyle w:val="Standard"/>
        <w:spacing w:before="28" w:after="28" w:line="240" w:lineRule="auto"/>
        <w:jc w:val="both"/>
        <w:rPr>
          <w:rFonts w:ascii="Times New Roman" w:eastAsia="Times New Roman" w:hAnsi="Times New Roman" w:cs="Times New Roman"/>
          <w:b/>
          <w:sz w:val="24"/>
          <w:szCs w:val="24"/>
          <w:u w:val="single"/>
          <w:lang w:eastAsia="fr-FR"/>
        </w:rPr>
      </w:pPr>
    </w:p>
    <w:p w14:paraId="38775C73" w14:textId="77777777" w:rsidR="00805DC0" w:rsidRDefault="00956C8C" w:rsidP="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Dans l’hypothèse où l’employeur applique une </w:t>
      </w:r>
      <w:hyperlink r:id="rId7" w:history="1">
        <w:r>
          <w:t xml:space="preserve">déduction forfaitaire spécifique pour </w:t>
        </w:r>
        <w:r>
          <w:tab/>
          <w:t>frais professionnels</w:t>
        </w:r>
      </w:hyperlink>
      <w:r>
        <w:rPr>
          <w:rFonts w:ascii="Times New Roman" w:eastAsia="Times New Roman" w:hAnsi="Times New Roman" w:cs="Times New Roman"/>
          <w:sz w:val="24"/>
          <w:szCs w:val="24"/>
          <w:lang w:eastAsia="fr-FR"/>
        </w:rPr>
        <w:t xml:space="preserve">, il faut se référer au salaire </w:t>
      </w:r>
      <w:r w:rsidRPr="00344F4A">
        <w:rPr>
          <w:rFonts w:ascii="Times New Roman" w:eastAsia="Times New Roman" w:hAnsi="Times New Roman" w:cs="Times New Roman"/>
          <w:b/>
          <w:bCs/>
          <w:sz w:val="24"/>
          <w:szCs w:val="24"/>
          <w:lang w:eastAsia="fr-FR"/>
        </w:rPr>
        <w:t>après application de la déduction</w:t>
      </w:r>
      <w:r>
        <w:rPr>
          <w:rFonts w:ascii="Times New Roman" w:eastAsia="Times New Roman" w:hAnsi="Times New Roman" w:cs="Times New Roman"/>
          <w:sz w:val="24"/>
          <w:szCs w:val="24"/>
          <w:lang w:eastAsia="fr-FR"/>
        </w:rPr>
        <w:t>.</w:t>
      </w:r>
    </w:p>
    <w:p w14:paraId="562284EA"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0551D662" w14:textId="77777777" w:rsidR="00805DC0"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Pour les salariés multi-employeurs, chaque employeur tient compte de la seule </w:t>
      </w:r>
      <w:r>
        <w:rPr>
          <w:rFonts w:ascii="Times New Roman" w:eastAsia="Times New Roman" w:hAnsi="Times New Roman" w:cs="Times New Roman"/>
          <w:sz w:val="24"/>
          <w:szCs w:val="24"/>
          <w:lang w:eastAsia="fr-FR"/>
        </w:rPr>
        <w:tab/>
        <w:t>rémunération versée dans son entreprise.</w:t>
      </w:r>
    </w:p>
    <w:p w14:paraId="2F9A2B1E" w14:textId="77777777" w:rsidR="00805DC0" w:rsidRDefault="00805DC0" w:rsidP="00956C8C">
      <w:pPr>
        <w:pStyle w:val="Standard"/>
        <w:spacing w:before="28" w:after="28" w:line="240" w:lineRule="auto"/>
        <w:jc w:val="both"/>
        <w:rPr>
          <w:rFonts w:ascii="Times New Roman" w:eastAsia="Times New Roman" w:hAnsi="Times New Roman" w:cs="Times New Roman"/>
          <w:sz w:val="24"/>
          <w:szCs w:val="24"/>
          <w:lang w:eastAsia="fr-FR"/>
        </w:rPr>
      </w:pPr>
    </w:p>
    <w:p w14:paraId="4874FC9C"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t xml:space="preserve">Il peut également arriver qu’un salarié ne perçoive pas de rémunération pendant 1 </w:t>
      </w:r>
      <w:r>
        <w:rPr>
          <w:rFonts w:ascii="Times New Roman" w:eastAsia="Times New Roman" w:hAnsi="Times New Roman" w:cs="Times New Roman"/>
          <w:sz w:val="24"/>
          <w:szCs w:val="24"/>
          <w:lang w:eastAsia="fr-FR"/>
        </w:rPr>
        <w:tab/>
        <w:t xml:space="preserve">mois entier. Il faut alors considérer que l’intéressé est rémunéré exclusivement par des </w:t>
      </w:r>
      <w:r>
        <w:rPr>
          <w:rFonts w:ascii="Times New Roman" w:eastAsia="Times New Roman" w:hAnsi="Times New Roman" w:cs="Times New Roman"/>
          <w:sz w:val="24"/>
          <w:szCs w:val="24"/>
          <w:lang w:eastAsia="fr-FR"/>
        </w:rPr>
        <w:tab/>
        <w:t xml:space="preserve">avantages en nature : </w:t>
      </w:r>
      <w:r>
        <w:rPr>
          <w:rFonts w:ascii="Times New Roman" w:eastAsia="Times New Roman" w:hAnsi="Times New Roman" w:cs="Times New Roman"/>
          <w:sz w:val="24"/>
          <w:szCs w:val="24"/>
          <w:u w:val="single"/>
          <w:lang w:eastAsia="fr-FR"/>
        </w:rPr>
        <w:t xml:space="preserve">l’avantage en nature logement doit alors être évalué en fonction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 xml:space="preserve">de la </w:t>
      </w:r>
      <w:r w:rsidRPr="00ED0651">
        <w:rPr>
          <w:rFonts w:ascii="Times New Roman" w:eastAsia="Times New Roman" w:hAnsi="Times New Roman" w:cs="Times New Roman"/>
          <w:b/>
          <w:bCs/>
          <w:sz w:val="24"/>
          <w:szCs w:val="24"/>
          <w:u w:val="single"/>
          <w:lang w:eastAsia="fr-FR"/>
        </w:rPr>
        <w:t>première tranche du barème</w:t>
      </w:r>
      <w:r>
        <w:rPr>
          <w:rFonts w:ascii="Times New Roman" w:eastAsia="Times New Roman" w:hAnsi="Times New Roman" w:cs="Times New Roman"/>
          <w:sz w:val="24"/>
          <w:szCs w:val="24"/>
          <w:u w:val="single"/>
          <w:lang w:eastAsia="fr-FR"/>
        </w:rPr>
        <w:t>.</w:t>
      </w:r>
    </w:p>
    <w:p w14:paraId="4B0BB6ED" w14:textId="77777777" w:rsidR="00805DC0" w:rsidRDefault="00805DC0">
      <w:pPr>
        <w:pStyle w:val="Standard"/>
        <w:spacing w:before="28" w:after="28" w:line="240" w:lineRule="auto"/>
        <w:rPr>
          <w:rFonts w:ascii="Times New Roman" w:eastAsia="Times New Roman" w:hAnsi="Times New Roman" w:cs="Times New Roman"/>
          <w:sz w:val="24"/>
          <w:szCs w:val="24"/>
          <w:u w:val="single"/>
          <w:lang w:eastAsia="fr-FR"/>
        </w:rPr>
      </w:pPr>
    </w:p>
    <w:p w14:paraId="1B757C2A"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Enfin, s’agissant des salariés affiliés à une caisse de congés payés, il peut arriver que, </w:t>
      </w:r>
      <w:r>
        <w:rPr>
          <w:rFonts w:ascii="Times New Roman" w:eastAsia="Times New Roman" w:hAnsi="Times New Roman" w:cs="Times New Roman"/>
          <w:sz w:val="24"/>
          <w:szCs w:val="24"/>
          <w:lang w:eastAsia="fr-FR"/>
        </w:rPr>
        <w:tab/>
        <w:t xml:space="preserve">pour 1 mois entier, ils ne perçoivent aucune rémunération en espèces de l’employeur et </w:t>
      </w:r>
      <w:r>
        <w:rPr>
          <w:rFonts w:ascii="Times New Roman" w:eastAsia="Times New Roman" w:hAnsi="Times New Roman" w:cs="Times New Roman"/>
          <w:sz w:val="24"/>
          <w:szCs w:val="24"/>
          <w:lang w:eastAsia="fr-FR"/>
        </w:rPr>
        <w:tab/>
        <w:t xml:space="preserve">soient uniquement indemnisés par la caisse de congés payés : l’avantage en nature </w:t>
      </w:r>
      <w:r>
        <w:rPr>
          <w:rFonts w:ascii="Times New Roman" w:eastAsia="Times New Roman" w:hAnsi="Times New Roman" w:cs="Times New Roman"/>
          <w:sz w:val="24"/>
          <w:szCs w:val="24"/>
          <w:lang w:eastAsia="fr-FR"/>
        </w:rPr>
        <w:tab/>
        <w:t xml:space="preserve">logement doit, pour ces périodes, être </w:t>
      </w:r>
      <w:r>
        <w:rPr>
          <w:rFonts w:ascii="Times New Roman" w:eastAsia="Times New Roman" w:hAnsi="Times New Roman" w:cs="Times New Roman"/>
          <w:sz w:val="24"/>
          <w:szCs w:val="24"/>
          <w:u w:val="single"/>
          <w:lang w:eastAsia="fr-FR"/>
        </w:rPr>
        <w:t xml:space="preserve">évalué en fonction du salaire mensuel brut de </w:t>
      </w:r>
      <w:r>
        <w:rPr>
          <w:rFonts w:ascii="Times New Roman" w:eastAsia="Times New Roman" w:hAnsi="Times New Roman" w:cs="Times New Roman"/>
          <w:sz w:val="24"/>
          <w:szCs w:val="24"/>
          <w:lang w:eastAsia="fr-FR"/>
        </w:rPr>
        <w:lastRenderedPageBreak/>
        <w:tab/>
      </w:r>
      <w:r>
        <w:rPr>
          <w:rFonts w:ascii="Times New Roman" w:eastAsia="Times New Roman" w:hAnsi="Times New Roman" w:cs="Times New Roman"/>
          <w:sz w:val="24"/>
          <w:szCs w:val="24"/>
          <w:u w:val="single"/>
          <w:lang w:eastAsia="fr-FR"/>
        </w:rPr>
        <w:t xml:space="preserve">référence servant au calcul de l’indemnité de congés payés selon la règle du maintien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de salaire.</w:t>
      </w:r>
    </w:p>
    <w:p w14:paraId="25016EDD" w14:textId="77777777" w:rsidR="00805DC0" w:rsidRDefault="00805DC0">
      <w:pPr>
        <w:pStyle w:val="Standard"/>
        <w:spacing w:before="28" w:after="28" w:line="240" w:lineRule="auto"/>
        <w:jc w:val="both"/>
        <w:rPr>
          <w:rFonts w:ascii="Times New Roman" w:eastAsia="Times New Roman" w:hAnsi="Times New Roman" w:cs="Times New Roman"/>
          <w:sz w:val="24"/>
          <w:szCs w:val="24"/>
          <w:u w:val="single"/>
          <w:lang w:eastAsia="fr-FR"/>
        </w:rPr>
      </w:pPr>
    </w:p>
    <w:p w14:paraId="4306E7C1"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Avantages accessoires</w:t>
      </w:r>
    </w:p>
    <w:p w14:paraId="7AF5BE49"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4091FB4B" w14:textId="77777777" w:rsidR="00805DC0" w:rsidRDefault="00956C8C" w:rsidP="00956C8C">
      <w:pPr>
        <w:pStyle w:val="Standard"/>
        <w:spacing w:before="28" w:after="28" w:line="240" w:lineRule="auto"/>
        <w:ind w:left="705"/>
        <w:jc w:val="both"/>
      </w:pPr>
      <w:r>
        <w:rPr>
          <w:rFonts w:ascii="Times New Roman" w:eastAsia="Times New Roman" w:hAnsi="Times New Roman" w:cs="Times New Roman"/>
          <w:sz w:val="24"/>
          <w:szCs w:val="24"/>
          <w:lang w:eastAsia="fr-FR"/>
        </w:rPr>
        <w:t xml:space="preserve">Seule une liste limitative d’avantages accessoires est considérée comme intégrée dans </w:t>
      </w:r>
      <w:r>
        <w:rPr>
          <w:rFonts w:ascii="Times New Roman" w:eastAsia="Times New Roman" w:hAnsi="Times New Roman" w:cs="Times New Roman"/>
          <w:sz w:val="24"/>
          <w:szCs w:val="24"/>
          <w:lang w:eastAsia="fr-FR"/>
        </w:rPr>
        <w:tab/>
        <w:t xml:space="preserve">le forfait : </w:t>
      </w:r>
      <w:r w:rsidRPr="00956C8C">
        <w:rPr>
          <w:rFonts w:ascii="Times New Roman" w:eastAsia="Times New Roman" w:hAnsi="Times New Roman" w:cs="Times New Roman"/>
          <w:b/>
          <w:sz w:val="24"/>
          <w:szCs w:val="24"/>
          <w:lang w:eastAsia="fr-FR"/>
        </w:rPr>
        <w:t>eau, gaz, électricité, chauffage et garage</w:t>
      </w:r>
      <w:r>
        <w:rPr>
          <w:rFonts w:ascii="Times New Roman" w:eastAsia="Times New Roman" w:hAnsi="Times New Roman" w:cs="Times New Roman"/>
          <w:sz w:val="24"/>
          <w:szCs w:val="24"/>
          <w:lang w:eastAsia="fr-FR"/>
        </w:rPr>
        <w:t xml:space="preserve"> (circ. DSS/SDFSS/5B </w:t>
      </w:r>
      <w:hyperlink r:id="rId8"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 Si d’autres avantages sont octroyés au salarié, il faut les rajouter pour </w:t>
      </w:r>
      <w:r>
        <w:rPr>
          <w:rFonts w:ascii="Times New Roman" w:eastAsia="Times New Roman" w:hAnsi="Times New Roman" w:cs="Times New Roman"/>
          <w:sz w:val="24"/>
          <w:szCs w:val="24"/>
          <w:lang w:eastAsia="fr-FR"/>
        </w:rPr>
        <w:tab/>
        <w:t>leur valeur réelle.</w:t>
      </w:r>
    </w:p>
    <w:p w14:paraId="3B6240FE"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3641475"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Évaluation minimale</w:t>
      </w:r>
    </w:p>
    <w:p w14:paraId="7171B194"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1B67C3E"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montants des forfaits prévus pour les avantages en nature logement sont des </w:t>
      </w:r>
      <w:r>
        <w:rPr>
          <w:rFonts w:ascii="Times New Roman" w:eastAsia="Times New Roman" w:hAnsi="Times New Roman" w:cs="Times New Roman"/>
          <w:sz w:val="24"/>
          <w:szCs w:val="24"/>
          <w:lang w:eastAsia="fr-FR"/>
        </w:rPr>
        <w:tab/>
        <w:t xml:space="preserve">évaluations minimales, à défaut de stipulations supérieures fixées par convention ou </w:t>
      </w:r>
      <w:r>
        <w:rPr>
          <w:rFonts w:ascii="Times New Roman" w:eastAsia="Times New Roman" w:hAnsi="Times New Roman" w:cs="Times New Roman"/>
          <w:sz w:val="24"/>
          <w:szCs w:val="24"/>
          <w:lang w:eastAsia="fr-FR"/>
        </w:rPr>
        <w:tab/>
        <w:t xml:space="preserve">accord collectif, ou convenues d’un commun accord entre les salariés et leurs </w:t>
      </w:r>
      <w:r>
        <w:rPr>
          <w:rFonts w:ascii="Times New Roman" w:eastAsia="Times New Roman" w:hAnsi="Times New Roman" w:cs="Times New Roman"/>
          <w:sz w:val="24"/>
          <w:szCs w:val="24"/>
          <w:lang w:eastAsia="fr-FR"/>
        </w:rPr>
        <w:tab/>
        <w:t>employeurs.</w:t>
      </w:r>
    </w:p>
    <w:p w14:paraId="40C92B9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09939BD"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2" w:name="3"/>
      <w:bookmarkEnd w:id="2"/>
      <w:r>
        <w:rPr>
          <w:rFonts w:ascii="Times New Roman" w:eastAsia="Times New Roman" w:hAnsi="Times New Roman" w:cs="Times New Roman"/>
          <w:b/>
          <w:bCs/>
          <w:sz w:val="36"/>
          <w:szCs w:val="36"/>
          <w:lang w:eastAsia="fr-FR"/>
        </w:rPr>
        <w:t>Évaluation réelle pour l’assiette des cotisations</w:t>
      </w:r>
    </w:p>
    <w:p w14:paraId="1148B5E5"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D76C871"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Évaluation réelle sur la base de la valeur locative</w:t>
      </w:r>
    </w:p>
    <w:p w14:paraId="40F46982"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7B80893C" w14:textId="5E7A4542" w:rsidR="00805DC0" w:rsidRDefault="00956C8C" w:rsidP="00956C8C">
      <w:pPr>
        <w:pStyle w:val="Standard"/>
        <w:spacing w:before="28" w:after="28" w:line="240" w:lineRule="auto"/>
        <w:ind w:left="708"/>
        <w:jc w:val="both"/>
      </w:pPr>
      <w:r>
        <w:rPr>
          <w:rFonts w:ascii="Times New Roman" w:eastAsia="Times New Roman" w:hAnsi="Times New Roman" w:cs="Times New Roman"/>
          <w:sz w:val="24"/>
          <w:szCs w:val="24"/>
          <w:lang w:eastAsia="fr-FR"/>
        </w:rPr>
        <w:t xml:space="preserve">Sur option de l’employeur, l’évaluation peut être basée sur la </w:t>
      </w:r>
      <w:r w:rsidRPr="00956C8C">
        <w:rPr>
          <w:rFonts w:ascii="Times New Roman" w:eastAsia="Times New Roman" w:hAnsi="Times New Roman" w:cs="Times New Roman"/>
          <w:b/>
          <w:sz w:val="24"/>
          <w:szCs w:val="24"/>
          <w:lang w:eastAsia="fr-FR"/>
        </w:rPr>
        <w:t>valeur locative servant à l’établissement de la taxe d’habitation</w:t>
      </w:r>
      <w:r>
        <w:rPr>
          <w:rFonts w:ascii="Times New Roman" w:eastAsia="Times New Roman" w:hAnsi="Times New Roman" w:cs="Times New Roman"/>
          <w:sz w:val="24"/>
          <w:szCs w:val="24"/>
          <w:lang w:eastAsia="fr-FR"/>
        </w:rPr>
        <w:t xml:space="preserve"> dans les conditions prévues aux articles 1496 </w:t>
      </w:r>
      <w:r w:rsidR="0016333D">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et 1516 du code général des impôts. Les avantages accessoires (</w:t>
      </w:r>
      <w:r w:rsidRPr="00956C8C">
        <w:rPr>
          <w:rFonts w:ascii="Times New Roman" w:eastAsia="Times New Roman" w:hAnsi="Times New Roman" w:cs="Times New Roman"/>
          <w:b/>
          <w:sz w:val="24"/>
          <w:szCs w:val="24"/>
          <w:lang w:eastAsia="fr-FR"/>
        </w:rPr>
        <w:t>eau,</w:t>
      </w:r>
      <w:r>
        <w:rPr>
          <w:rFonts w:ascii="Times New Roman" w:eastAsia="Times New Roman" w:hAnsi="Times New Roman" w:cs="Times New Roman"/>
          <w:sz w:val="24"/>
          <w:szCs w:val="24"/>
          <w:lang w:eastAsia="fr-FR"/>
        </w:rPr>
        <w:t xml:space="preserve"> </w:t>
      </w:r>
      <w:r w:rsidRPr="00956C8C">
        <w:rPr>
          <w:rFonts w:ascii="Times New Roman" w:eastAsia="Times New Roman" w:hAnsi="Times New Roman" w:cs="Times New Roman"/>
          <w:b/>
          <w:sz w:val="24"/>
          <w:szCs w:val="24"/>
          <w:lang w:eastAsia="fr-FR"/>
        </w:rPr>
        <w:t>gaz, taxe d’habitation</w:t>
      </w:r>
      <w:r>
        <w:rPr>
          <w:rFonts w:ascii="Times New Roman" w:eastAsia="Times New Roman" w:hAnsi="Times New Roman" w:cs="Times New Roman"/>
          <w:sz w:val="24"/>
          <w:szCs w:val="24"/>
          <w:lang w:eastAsia="fr-FR"/>
        </w:rPr>
        <w:t xml:space="preserve">, etc.) sont évalués d’après la </w:t>
      </w:r>
      <w:r w:rsidRPr="00956C8C">
        <w:rPr>
          <w:rFonts w:ascii="Times New Roman" w:eastAsia="Times New Roman" w:hAnsi="Times New Roman" w:cs="Times New Roman"/>
          <w:b/>
          <w:sz w:val="24"/>
          <w:szCs w:val="24"/>
          <w:lang w:eastAsia="fr-FR"/>
        </w:rPr>
        <w:t>valeur réelle</w:t>
      </w:r>
      <w:r>
        <w:rPr>
          <w:rFonts w:ascii="Times New Roman" w:eastAsia="Times New Roman" w:hAnsi="Times New Roman" w:cs="Times New Roman"/>
          <w:sz w:val="24"/>
          <w:szCs w:val="24"/>
          <w:lang w:eastAsia="fr-FR"/>
        </w:rPr>
        <w:t>.</w:t>
      </w:r>
    </w:p>
    <w:p w14:paraId="0D1DC5A0"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Cette évaluation ne doit tenir compte que des locaux effectivement utilisés par le </w:t>
      </w:r>
      <w:r>
        <w:rPr>
          <w:rFonts w:ascii="Times New Roman" w:eastAsia="Times New Roman" w:hAnsi="Times New Roman" w:cs="Times New Roman"/>
          <w:sz w:val="24"/>
          <w:szCs w:val="24"/>
          <w:lang w:eastAsia="fr-FR"/>
        </w:rPr>
        <w:tab/>
        <w:t>salarié à des fins personnelles.</w:t>
      </w:r>
    </w:p>
    <w:p w14:paraId="4A33444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BCFE1C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Si la valeur locative retenue pour la taxe d’habitation ne peut être évaluée</w:t>
      </w:r>
      <w:r>
        <w:rPr>
          <w:rFonts w:ascii="Times New Roman" w:eastAsia="Times New Roman" w:hAnsi="Times New Roman" w:cs="Times New Roman"/>
          <w:sz w:val="24"/>
          <w:szCs w:val="24"/>
          <w:lang w:eastAsia="fr-FR"/>
        </w:rPr>
        <w:t> </w:t>
      </w:r>
    </w:p>
    <w:p w14:paraId="6115D57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DAB9405"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 xml:space="preserve"> </w:t>
      </w: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Lorsque, par exception, la valeur locative servant à l’établissement de la taxe </w:t>
      </w:r>
      <w:r>
        <w:rPr>
          <w:rFonts w:ascii="Times New Roman" w:eastAsia="Times New Roman" w:hAnsi="Times New Roman" w:cs="Times New Roman"/>
          <w:sz w:val="24"/>
          <w:szCs w:val="24"/>
          <w:lang w:eastAsia="fr-FR"/>
        </w:rPr>
        <w:tab/>
        <w:t xml:space="preserve">d’habitation n’est pas évaluée, l’avantage en nature doit être calculé d’après la </w:t>
      </w:r>
      <w:r>
        <w:rPr>
          <w:rFonts w:ascii="Times New Roman" w:eastAsia="Times New Roman" w:hAnsi="Times New Roman" w:cs="Times New Roman"/>
          <w:sz w:val="24"/>
          <w:szCs w:val="24"/>
          <w:u w:val="single"/>
          <w:lang w:eastAsia="fr-FR"/>
        </w:rPr>
        <w:t xml:space="preserve">valeur </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u w:val="single"/>
          <w:lang w:eastAsia="fr-FR"/>
        </w:rPr>
        <w:t>locative réelle du logement</w:t>
      </w:r>
      <w:r>
        <w:rPr>
          <w:rFonts w:ascii="Times New Roman" w:eastAsia="Times New Roman" w:hAnsi="Times New Roman" w:cs="Times New Roman"/>
          <w:sz w:val="24"/>
          <w:szCs w:val="24"/>
          <w:lang w:eastAsia="fr-FR"/>
        </w:rPr>
        <w:t xml:space="preserve"> (taux des loyers pratiqués dans la commune pour un </w:t>
      </w:r>
      <w:r>
        <w:rPr>
          <w:rFonts w:ascii="Times New Roman" w:eastAsia="Times New Roman" w:hAnsi="Times New Roman" w:cs="Times New Roman"/>
          <w:sz w:val="24"/>
          <w:szCs w:val="24"/>
          <w:lang w:eastAsia="fr-FR"/>
        </w:rPr>
        <w:tab/>
        <w:t xml:space="preserve">logement de surface comparable) et d’après la valeur réelle des avantages accessoires </w:t>
      </w:r>
      <w:r>
        <w:rPr>
          <w:rFonts w:ascii="Times New Roman" w:eastAsia="Times New Roman" w:hAnsi="Times New Roman" w:cs="Times New Roman"/>
          <w:sz w:val="24"/>
          <w:szCs w:val="24"/>
          <w:lang w:eastAsia="fr-FR"/>
        </w:rPr>
        <w:tab/>
        <w:t>pris en charge par l’employeur.</w:t>
      </w:r>
    </w:p>
    <w:p w14:paraId="5A5A5077"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55CDDE77"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55DC5106"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001D2C33"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Lorsque le loyer acquitté par l’employeur est d’un montant inférieur à celui résultant </w:t>
      </w:r>
      <w:r>
        <w:rPr>
          <w:rFonts w:ascii="Times New Roman" w:eastAsia="Times New Roman" w:hAnsi="Times New Roman" w:cs="Times New Roman"/>
          <w:sz w:val="24"/>
          <w:szCs w:val="24"/>
          <w:lang w:eastAsia="fr-FR"/>
        </w:rPr>
        <w:tab/>
        <w:t xml:space="preserve">des taux de loyer pratiqués dans la commune, il convient de retenir la valeur du loyer </w:t>
      </w:r>
      <w:r>
        <w:rPr>
          <w:rFonts w:ascii="Times New Roman" w:eastAsia="Times New Roman" w:hAnsi="Times New Roman" w:cs="Times New Roman"/>
          <w:sz w:val="24"/>
          <w:szCs w:val="24"/>
          <w:lang w:eastAsia="fr-FR"/>
        </w:rPr>
        <w:tab/>
        <w:t xml:space="preserve">acquitté par l’employeur, sous réserve de la production des justificatifs (contrat de bail, </w:t>
      </w:r>
      <w:r>
        <w:rPr>
          <w:rFonts w:ascii="Times New Roman" w:eastAsia="Times New Roman" w:hAnsi="Times New Roman" w:cs="Times New Roman"/>
          <w:sz w:val="24"/>
          <w:szCs w:val="24"/>
          <w:lang w:eastAsia="fr-FR"/>
        </w:rPr>
        <w:tab/>
        <w:t>quittance de loyer, etc.).</w:t>
      </w:r>
    </w:p>
    <w:p w14:paraId="7A354BE8"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9AE0A00"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Si la valeur locative retenue pour la taxe d’habitation et la valeur locative réelle ne peuvent être évaluées</w:t>
      </w: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w:t>
      </w:r>
    </w:p>
    <w:p w14:paraId="54C2A0D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49A1B8E4"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lastRenderedPageBreak/>
        <w:t xml:space="preserve"> </w:t>
      </w: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Lorsque ni la valeur locative servant à l’établissement de la taxe d’habitation ni la </w:t>
      </w:r>
      <w:r>
        <w:rPr>
          <w:rFonts w:ascii="Times New Roman" w:eastAsia="Times New Roman" w:hAnsi="Times New Roman" w:cs="Times New Roman"/>
          <w:sz w:val="24"/>
          <w:szCs w:val="24"/>
          <w:lang w:eastAsia="fr-FR"/>
        </w:rPr>
        <w:tab/>
        <w:t xml:space="preserve">valeur locative réelle du logement ne peuvent être évaluées, l’avantage en nature doit </w:t>
      </w:r>
      <w:r>
        <w:rPr>
          <w:rFonts w:ascii="Times New Roman" w:eastAsia="Times New Roman" w:hAnsi="Times New Roman" w:cs="Times New Roman"/>
          <w:sz w:val="24"/>
          <w:szCs w:val="24"/>
          <w:lang w:eastAsia="fr-FR"/>
        </w:rPr>
        <w:tab/>
        <w:t>être estimé au forfait.</w:t>
      </w:r>
    </w:p>
    <w:p w14:paraId="5C3ED9AB"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23162F7"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3" w:name="4"/>
      <w:bookmarkEnd w:id="3"/>
      <w:r>
        <w:rPr>
          <w:rFonts w:ascii="Times New Roman" w:eastAsia="Times New Roman" w:hAnsi="Times New Roman" w:cs="Times New Roman"/>
          <w:b/>
          <w:bCs/>
          <w:sz w:val="36"/>
          <w:szCs w:val="36"/>
          <w:lang w:eastAsia="fr-FR"/>
        </w:rPr>
        <w:t>Versement d’un loyer par le salarié</w:t>
      </w:r>
    </w:p>
    <w:p w14:paraId="6BAE8282"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0D19AE8"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d’évaluation forfaitaire</w:t>
      </w:r>
    </w:p>
    <w:p w14:paraId="24307C7E"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7324A8D0"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Si l’employeur a opté pour le forfait (circ. DSS/SDFSS/5B </w:t>
      </w:r>
      <w:hyperlink r:id="rId9"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w:t>
      </w:r>
      <w:r>
        <w:rPr>
          <w:rFonts w:ascii="Times New Roman" w:eastAsia="Times New Roman" w:hAnsi="Times New Roman" w:cs="Times New Roman"/>
          <w:sz w:val="24"/>
          <w:szCs w:val="24"/>
          <w:lang w:eastAsia="fr-FR"/>
        </w:rPr>
        <w:tab/>
        <w:t>question/réponse 11) :</w:t>
      </w:r>
    </w:p>
    <w:p w14:paraId="606D38D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592B2F28"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lorsque la redevance ou le loyer est inférieur au forfait, l’avantage en nature est égal à la différence entre ces deux montants ;</w:t>
      </w:r>
    </w:p>
    <w:p w14:paraId="68BCE633"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lorsque la redevance est égale ou supérieure au forfait, il n’y a pas d’avantage en nature.</w:t>
      </w:r>
    </w:p>
    <w:p w14:paraId="31D8161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9D4F302"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En cas d’évaluation réelle</w:t>
      </w:r>
    </w:p>
    <w:p w14:paraId="097B6E78"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5F49A3CB"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ab/>
        <w:t xml:space="preserve">Lorsque le salarié verse un loyer ou une redevance à son employeur en échange du </w:t>
      </w:r>
      <w:r>
        <w:rPr>
          <w:rFonts w:ascii="Times New Roman" w:eastAsia="Times New Roman" w:hAnsi="Times New Roman" w:cs="Times New Roman"/>
          <w:sz w:val="24"/>
          <w:szCs w:val="24"/>
          <w:lang w:eastAsia="fr-FR"/>
        </w:rPr>
        <w:tab/>
        <w:t xml:space="preserve">logement fourni (circ. DSS/SDFSS/5B </w:t>
      </w:r>
      <w:hyperlink r:id="rId10"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w:t>
      </w:r>
      <w:r>
        <w:rPr>
          <w:rFonts w:ascii="Times New Roman" w:eastAsia="Times New Roman" w:hAnsi="Times New Roman" w:cs="Times New Roman"/>
          <w:sz w:val="24"/>
          <w:szCs w:val="24"/>
          <w:lang w:eastAsia="fr-FR"/>
        </w:rPr>
        <w:tab/>
        <w:t>11) :</w:t>
      </w:r>
    </w:p>
    <w:p w14:paraId="271D9769" w14:textId="77777777" w:rsidR="00805DC0" w:rsidRDefault="00956C8C" w:rsidP="00956C8C">
      <w:pPr>
        <w:pStyle w:val="Standard"/>
        <w:numPr>
          <w:ilvl w:val="0"/>
          <w:numId w:val="8"/>
        </w:numPr>
        <w:spacing w:before="28" w:after="28" w:line="240" w:lineRule="auto"/>
      </w:pPr>
      <w:r>
        <w:rPr>
          <w:rFonts w:ascii="Times New Roman" w:eastAsia="Times New Roman" w:hAnsi="Times New Roman" w:cs="Times New Roman"/>
          <w:sz w:val="24"/>
          <w:szCs w:val="24"/>
          <w:lang w:eastAsia="fr-FR"/>
        </w:rPr>
        <w:t xml:space="preserve">si le montant du loyer ou de la redevance est au moins égal à la valeur locative servant à l’établissement de la taxe d’habitation (CGI art. </w:t>
      </w:r>
      <w:hyperlink r:id="rId11" w:history="1">
        <w:r>
          <w:rPr>
            <w:rFonts w:ascii="Times New Roman" w:eastAsia="Times New Roman" w:hAnsi="Times New Roman" w:cs="Times New Roman"/>
            <w:color w:val="0000FF"/>
            <w:sz w:val="24"/>
            <w:szCs w:val="24"/>
            <w:u w:val="single"/>
            <w:lang w:eastAsia="fr-FR"/>
          </w:rPr>
          <w:t>1496</w:t>
        </w:r>
      </w:hyperlink>
      <w:r>
        <w:rPr>
          <w:rFonts w:ascii="Times New Roman" w:eastAsia="Times New Roman" w:hAnsi="Times New Roman" w:cs="Times New Roman"/>
          <w:sz w:val="24"/>
          <w:szCs w:val="24"/>
          <w:lang w:eastAsia="fr-FR"/>
        </w:rPr>
        <w:t xml:space="preserve"> et </w:t>
      </w:r>
      <w:hyperlink r:id="rId12" w:history="1">
        <w:r>
          <w:rPr>
            <w:rFonts w:ascii="Times New Roman" w:eastAsia="Times New Roman" w:hAnsi="Times New Roman" w:cs="Times New Roman"/>
            <w:color w:val="0000FF"/>
            <w:sz w:val="24"/>
            <w:szCs w:val="24"/>
            <w:u w:val="single"/>
            <w:lang w:eastAsia="fr-FR"/>
          </w:rPr>
          <w:t>1516</w:t>
        </w:r>
      </w:hyperlink>
      <w:r>
        <w:rPr>
          <w:rFonts w:ascii="Times New Roman" w:eastAsia="Times New Roman" w:hAnsi="Times New Roman" w:cs="Times New Roman"/>
          <w:sz w:val="24"/>
          <w:szCs w:val="24"/>
          <w:lang w:eastAsia="fr-FR"/>
        </w:rPr>
        <w:t>), il n’y a pas d’avantage en nature ;</w:t>
      </w:r>
    </w:p>
    <w:p w14:paraId="354669DE" w14:textId="77777777" w:rsidR="00805DC0" w:rsidRDefault="00956C8C" w:rsidP="00283F7E">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si la redevance ou le loyer est inférieur à la valeur locative servant à l’établissement de la taxe d’habitation, l’avantage est égal à la différence entre ces deux montants.</w:t>
      </w:r>
    </w:p>
    <w:p w14:paraId="04EE8C76" w14:textId="6F98C726" w:rsidR="00344F4A" w:rsidRPr="00344F4A" w:rsidRDefault="00344F4A" w:rsidP="00283F7E">
      <w:pPr>
        <w:spacing w:before="100" w:beforeAutospacing="1" w:after="100" w:afterAutospacing="1" w:line="240" w:lineRule="auto"/>
        <w:ind w:left="708"/>
        <w:jc w:val="both"/>
        <w:rPr>
          <w:rFonts w:ascii="Times New Roman" w:eastAsia="Times New Roman" w:hAnsi="Times New Roman" w:cs="Times New Roman"/>
          <w:sz w:val="23"/>
          <w:szCs w:val="23"/>
          <w:lang w:eastAsia="fr-FR"/>
        </w:rPr>
      </w:pPr>
      <w:r>
        <w:rPr>
          <w:rFonts w:ascii="Times New Roman" w:eastAsia="Times New Roman" w:hAnsi="Times New Roman" w:cs="Times New Roman"/>
          <w:sz w:val="23"/>
          <w:szCs w:val="23"/>
          <w:lang w:eastAsia="fr-FR"/>
        </w:rPr>
        <w:t>L</w:t>
      </w:r>
      <w:r w:rsidRPr="00344F4A">
        <w:rPr>
          <w:rFonts w:ascii="Times New Roman" w:eastAsia="Times New Roman" w:hAnsi="Times New Roman" w:cs="Times New Roman"/>
          <w:sz w:val="23"/>
          <w:szCs w:val="23"/>
          <w:lang w:eastAsia="fr-FR"/>
        </w:rPr>
        <w:t>'employeur fournit un logement moyennant une redevance inférieure à la valeur de l'avantage calculé, sur option de l'employeur, par référence à la valeur locative servant à l'établissement de la taxe d'habitation.</w:t>
      </w:r>
    </w:p>
    <w:p w14:paraId="4E8F3EB8" w14:textId="77777777" w:rsidR="00344F4A" w:rsidRDefault="00344F4A" w:rsidP="00344F4A">
      <w:pPr>
        <w:spacing w:before="100" w:beforeAutospacing="1" w:after="100" w:afterAutospacing="1" w:line="240" w:lineRule="auto"/>
        <w:ind w:left="708"/>
        <w:rPr>
          <w:rFonts w:ascii="Times New Roman" w:eastAsia="Times New Roman" w:hAnsi="Times New Roman" w:cs="Times New Roman"/>
          <w:sz w:val="23"/>
          <w:szCs w:val="23"/>
          <w:lang w:eastAsia="fr-FR"/>
        </w:rPr>
      </w:pPr>
      <w:r w:rsidRPr="00344F4A">
        <w:rPr>
          <w:rFonts w:ascii="Times New Roman" w:eastAsia="Times New Roman" w:hAnsi="Times New Roman" w:cs="Times New Roman"/>
          <w:sz w:val="23"/>
          <w:szCs w:val="23"/>
          <w:lang w:eastAsia="fr-FR"/>
        </w:rPr>
        <w:t>Montant mensuel de la redevance = 165 €. Montant mensuel de la valeur locative = 261 € (y compris la valeur réelle des avantages accessoires).</w:t>
      </w:r>
    </w:p>
    <w:p w14:paraId="6071B30B" w14:textId="62302AF7" w:rsidR="00344F4A" w:rsidRPr="00283F7E" w:rsidRDefault="00344F4A" w:rsidP="00283F7E">
      <w:pPr>
        <w:spacing w:before="100" w:beforeAutospacing="1" w:after="100" w:afterAutospacing="1" w:line="240" w:lineRule="auto"/>
        <w:ind w:left="708"/>
        <w:rPr>
          <w:rFonts w:ascii="Times New Roman" w:eastAsia="Times New Roman" w:hAnsi="Times New Roman" w:cs="Times New Roman"/>
          <w:sz w:val="23"/>
          <w:szCs w:val="23"/>
          <w:lang w:eastAsia="fr-FR"/>
        </w:rPr>
      </w:pPr>
      <w:r>
        <w:rPr>
          <w:rFonts w:ascii="Times New Roman" w:eastAsia="Times New Roman" w:hAnsi="Times New Roman" w:cs="Times New Roman"/>
          <w:sz w:val="23"/>
          <w:szCs w:val="23"/>
          <w:lang w:eastAsia="fr-FR"/>
        </w:rPr>
        <w:t>AN = 261 – 165 = 9</w:t>
      </w:r>
      <w:r w:rsidR="00283F7E">
        <w:rPr>
          <w:rFonts w:ascii="Times New Roman" w:eastAsia="Times New Roman" w:hAnsi="Times New Roman" w:cs="Times New Roman"/>
          <w:sz w:val="23"/>
          <w:szCs w:val="23"/>
          <w:lang w:eastAsia="fr-FR"/>
        </w:rPr>
        <w:t>6</w:t>
      </w:r>
    </w:p>
    <w:p w14:paraId="69583181"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7770031E"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1F348D43"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E1C0474" w14:textId="77777777" w:rsidR="00805DC0" w:rsidRDefault="00956C8C" w:rsidP="00283F7E">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la valeur locative foncière n’est pas connue, il faut prendre en compte le taux des </w:t>
      </w:r>
      <w:r>
        <w:rPr>
          <w:rFonts w:ascii="Times New Roman" w:eastAsia="Times New Roman" w:hAnsi="Times New Roman" w:cs="Times New Roman"/>
          <w:sz w:val="24"/>
          <w:szCs w:val="24"/>
          <w:lang w:eastAsia="fr-FR"/>
        </w:rPr>
        <w:tab/>
        <w:t>loyers pratiqués dans la commune pour un logement de surface identique.</w:t>
      </w:r>
    </w:p>
    <w:p w14:paraId="53E3AA0F" w14:textId="77777777" w:rsidR="00805DC0" w:rsidRDefault="00956C8C" w:rsidP="00283F7E">
      <w:pPr>
        <w:pStyle w:val="Standard"/>
        <w:spacing w:before="28" w:after="28" w:line="240" w:lineRule="auto"/>
        <w:jc w:val="both"/>
      </w:pPr>
      <w:r>
        <w:rPr>
          <w:rFonts w:ascii="Times New Roman" w:eastAsia="Times New Roman" w:hAnsi="Times New Roman" w:cs="Times New Roman"/>
          <w:sz w:val="24"/>
          <w:szCs w:val="24"/>
          <w:lang w:eastAsia="fr-FR"/>
        </w:rPr>
        <w:tab/>
        <w:t xml:space="preserve">Lorsque l’évaluation de l’avantage en nature obtenue est inférieure à celle de la </w:t>
      </w:r>
      <w:r>
        <w:rPr>
          <w:rFonts w:ascii="Times New Roman" w:eastAsia="Times New Roman" w:hAnsi="Times New Roman" w:cs="Times New Roman"/>
          <w:sz w:val="24"/>
          <w:szCs w:val="24"/>
          <w:lang w:eastAsia="fr-FR"/>
        </w:rPr>
        <w:tab/>
        <w:t xml:space="preserve">première tranche du barème forfaitaire, l’avantage en nature logement peut être </w:t>
      </w:r>
      <w:r>
        <w:rPr>
          <w:rFonts w:ascii="Times New Roman" w:eastAsia="Times New Roman" w:hAnsi="Times New Roman" w:cs="Times New Roman"/>
          <w:sz w:val="24"/>
          <w:szCs w:val="24"/>
          <w:lang w:eastAsia="fr-FR"/>
        </w:rPr>
        <w:tab/>
        <w:t xml:space="preserve">négligé (circ. DSS/SDFSS/5B </w:t>
      </w:r>
      <w:hyperlink r:id="rId13"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w:t>
      </w:r>
    </w:p>
    <w:p w14:paraId="5FFFEC12"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78105A95" w14:textId="77777777" w:rsidR="00805DC0" w:rsidRDefault="00956C8C">
      <w:pPr>
        <w:pStyle w:val="Standard"/>
        <w:spacing w:before="28" w:after="28"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sz w:val="24"/>
          <w:szCs w:val="24"/>
          <w:lang w:eastAsia="fr-FR"/>
        </w:rPr>
        <w:tab/>
        <w:t>Les avantages accessoires au logement (</w:t>
      </w:r>
      <w:r w:rsidRPr="00956C8C">
        <w:rPr>
          <w:rFonts w:ascii="Times New Roman" w:eastAsia="Times New Roman" w:hAnsi="Times New Roman" w:cs="Times New Roman"/>
          <w:b/>
          <w:sz w:val="24"/>
          <w:szCs w:val="24"/>
          <w:lang w:eastAsia="fr-FR"/>
        </w:rPr>
        <w:t>eau, gaz, électricité, garage</w:t>
      </w:r>
      <w:r>
        <w:rPr>
          <w:rFonts w:ascii="Times New Roman" w:eastAsia="Times New Roman" w:hAnsi="Times New Roman" w:cs="Times New Roman"/>
          <w:sz w:val="24"/>
          <w:szCs w:val="24"/>
          <w:lang w:eastAsia="fr-FR"/>
        </w:rPr>
        <w:t xml:space="preserve">) sont calculés </w:t>
      </w:r>
      <w:r>
        <w:rPr>
          <w:rFonts w:ascii="Times New Roman" w:eastAsia="Times New Roman" w:hAnsi="Times New Roman" w:cs="Times New Roman"/>
          <w:sz w:val="24"/>
          <w:szCs w:val="24"/>
          <w:lang w:eastAsia="fr-FR"/>
        </w:rPr>
        <w:tab/>
        <w:t xml:space="preserve">d’après leur valeur réelle, </w:t>
      </w:r>
      <w:r w:rsidRPr="00956C8C">
        <w:rPr>
          <w:rFonts w:ascii="Times New Roman" w:eastAsia="Times New Roman" w:hAnsi="Times New Roman" w:cs="Times New Roman"/>
          <w:b/>
          <w:sz w:val="24"/>
          <w:szCs w:val="24"/>
          <w:lang w:eastAsia="fr-FR"/>
        </w:rPr>
        <w:t>sur présentation de factures.</w:t>
      </w:r>
    </w:p>
    <w:p w14:paraId="0122D350" w14:textId="77777777" w:rsidR="00344F4A" w:rsidRDefault="00344F4A">
      <w:pPr>
        <w:pStyle w:val="Standard"/>
        <w:spacing w:before="28" w:after="28" w:line="240" w:lineRule="auto"/>
        <w:rPr>
          <w:rFonts w:ascii="Times New Roman" w:eastAsia="Times New Roman" w:hAnsi="Times New Roman" w:cs="Times New Roman"/>
          <w:sz w:val="24"/>
          <w:szCs w:val="24"/>
          <w:lang w:eastAsia="fr-FR"/>
        </w:rPr>
      </w:pPr>
    </w:p>
    <w:p w14:paraId="2670037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242818B"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4" w:name="5"/>
      <w:bookmarkEnd w:id="4"/>
      <w:r>
        <w:rPr>
          <w:rFonts w:ascii="Times New Roman" w:eastAsia="Times New Roman" w:hAnsi="Times New Roman" w:cs="Times New Roman"/>
          <w:b/>
          <w:bCs/>
          <w:sz w:val="36"/>
          <w:szCs w:val="36"/>
          <w:lang w:eastAsia="fr-FR"/>
        </w:rPr>
        <w:t>Loyer du salarié payé par l’employeur</w:t>
      </w:r>
    </w:p>
    <w:p w14:paraId="3C706EA3"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40514572"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loyer du logement du salarié peut être pris en charge directement par l’employeur. Celui-ci doit-il alors décompter un avantage en nature ou un avantage en espèces ?</w:t>
      </w:r>
    </w:p>
    <w:p w14:paraId="08E20547"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61F1269E"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Bail au nom de l’employeur</w:t>
      </w:r>
    </w:p>
    <w:p w14:paraId="7B637395"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31560275" w14:textId="6CED39CB" w:rsidR="00805DC0" w:rsidRDefault="00956C8C" w:rsidP="00283F7E">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L’avantage doit être considéré comme un avantage en nature lorsque l’employeur, </w:t>
      </w:r>
      <w:r>
        <w:rPr>
          <w:rFonts w:ascii="Times New Roman" w:eastAsia="Times New Roman" w:hAnsi="Times New Roman" w:cs="Times New Roman"/>
          <w:sz w:val="24"/>
          <w:szCs w:val="24"/>
          <w:lang w:eastAsia="fr-FR"/>
        </w:rPr>
        <w:tab/>
        <w:t xml:space="preserve">titulaire du bail locatif, loge gratuitement le salarié (circ. DSS/SDFSS/5B </w:t>
      </w:r>
      <w:hyperlink r:id="rId14"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w:t>
      </w:r>
      <w:r>
        <w:rPr>
          <w:rFonts w:ascii="Times New Roman" w:eastAsia="Times New Roman" w:hAnsi="Times New Roman" w:cs="Times New Roman"/>
          <w:sz w:val="24"/>
          <w:szCs w:val="24"/>
          <w:lang w:eastAsia="fr-FR"/>
        </w:rPr>
        <w:tab/>
        <w:t>19 août 2005, question/réponse 7).</w:t>
      </w:r>
    </w:p>
    <w:p w14:paraId="4BA90890"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2EBA4FC9"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Bail au nom du salarié</w:t>
      </w:r>
    </w:p>
    <w:p w14:paraId="3C9392D5"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0474D3CB"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En revanche, lorsque l’employeur prend en charge une dépense incombant </w:t>
      </w:r>
      <w:r>
        <w:rPr>
          <w:rFonts w:ascii="Times New Roman" w:eastAsia="Times New Roman" w:hAnsi="Times New Roman" w:cs="Times New Roman"/>
          <w:sz w:val="24"/>
          <w:szCs w:val="24"/>
          <w:lang w:eastAsia="fr-FR"/>
        </w:rPr>
        <w:tab/>
        <w:t xml:space="preserve">nominativement au salarié (bail au nom du salarié), l’avantage consenti à ce dernier </w:t>
      </w:r>
      <w:r>
        <w:rPr>
          <w:rFonts w:ascii="Times New Roman" w:eastAsia="Times New Roman" w:hAnsi="Times New Roman" w:cs="Times New Roman"/>
          <w:sz w:val="24"/>
          <w:szCs w:val="24"/>
          <w:lang w:eastAsia="fr-FR"/>
        </w:rPr>
        <w:tab/>
        <w:t xml:space="preserve">constitue un </w:t>
      </w:r>
      <w:r w:rsidRPr="00956C8C">
        <w:rPr>
          <w:rFonts w:ascii="Times New Roman" w:eastAsia="Times New Roman" w:hAnsi="Times New Roman" w:cs="Times New Roman"/>
          <w:b/>
          <w:sz w:val="24"/>
          <w:szCs w:val="24"/>
          <w:lang w:eastAsia="fr-FR"/>
        </w:rPr>
        <w:t>avantage en espèces</w:t>
      </w:r>
      <w:r>
        <w:rPr>
          <w:rFonts w:ascii="Times New Roman" w:eastAsia="Times New Roman" w:hAnsi="Times New Roman" w:cs="Times New Roman"/>
          <w:sz w:val="24"/>
          <w:szCs w:val="24"/>
          <w:lang w:eastAsia="fr-FR"/>
        </w:rPr>
        <w:t xml:space="preserve">, peu important à cet égard que l’employeur paye </w:t>
      </w:r>
      <w:r>
        <w:rPr>
          <w:rFonts w:ascii="Times New Roman" w:eastAsia="Times New Roman" w:hAnsi="Times New Roman" w:cs="Times New Roman"/>
          <w:sz w:val="24"/>
          <w:szCs w:val="24"/>
          <w:lang w:eastAsia="fr-FR"/>
        </w:rPr>
        <w:tab/>
        <w:t xml:space="preserve">directement le loyer auprès du bailleur ou en rembourse le montant au salarié (circ. </w:t>
      </w:r>
      <w:r>
        <w:rPr>
          <w:rFonts w:ascii="Times New Roman" w:eastAsia="Times New Roman" w:hAnsi="Times New Roman" w:cs="Times New Roman"/>
          <w:sz w:val="24"/>
          <w:szCs w:val="24"/>
          <w:lang w:eastAsia="fr-FR"/>
        </w:rPr>
        <w:tab/>
        <w:t xml:space="preserve">DSS/SDFSS/5B </w:t>
      </w:r>
      <w:hyperlink r:id="rId15"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7).</w:t>
      </w:r>
    </w:p>
    <w:p w14:paraId="10EDC12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C16D32D" w14:textId="77777777" w:rsidR="00805DC0" w:rsidRDefault="00956C8C" w:rsidP="00956C8C">
      <w:pPr>
        <w:pStyle w:val="Standard"/>
        <w:spacing w:before="28" w:after="28" w:line="240" w:lineRule="auto"/>
        <w:ind w:left="705"/>
        <w:jc w:val="both"/>
      </w:pPr>
      <w:r w:rsidRPr="00956C8C">
        <w:rPr>
          <w:rFonts w:ascii="Times New Roman" w:eastAsia="Times New Roman" w:hAnsi="Times New Roman" w:cs="Times New Roman"/>
          <w:b/>
          <w:sz w:val="24"/>
          <w:szCs w:val="24"/>
          <w:lang w:eastAsia="fr-FR"/>
        </w:rPr>
        <w:t>Ceci signifie, en pratique, que l’évaluation forfaitaire ne peut pas être utilisée</w:t>
      </w:r>
      <w:r>
        <w:rPr>
          <w:rFonts w:ascii="Times New Roman" w:eastAsia="Times New Roman" w:hAnsi="Times New Roman" w:cs="Times New Roman"/>
          <w:sz w:val="24"/>
          <w:szCs w:val="24"/>
          <w:lang w:eastAsia="fr-FR"/>
        </w:rPr>
        <w:t xml:space="preserve"> : c’est le montant de l’avantage en espèces qui doit être soumis à cotisations, à savoir le </w:t>
      </w:r>
      <w:r>
        <w:rPr>
          <w:rFonts w:ascii="Times New Roman" w:eastAsia="Times New Roman" w:hAnsi="Times New Roman" w:cs="Times New Roman"/>
          <w:sz w:val="24"/>
          <w:szCs w:val="24"/>
          <w:lang w:eastAsia="fr-FR"/>
        </w:rPr>
        <w:tab/>
        <w:t>montant de la dépense prise en charge par l’employeur.</w:t>
      </w:r>
    </w:p>
    <w:p w14:paraId="62B0241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A6454EE"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5" w:name="6"/>
      <w:bookmarkEnd w:id="5"/>
      <w:r>
        <w:rPr>
          <w:rFonts w:ascii="Times New Roman" w:eastAsia="Times New Roman" w:hAnsi="Times New Roman" w:cs="Times New Roman"/>
          <w:b/>
          <w:bCs/>
          <w:sz w:val="36"/>
          <w:szCs w:val="36"/>
          <w:lang w:eastAsia="fr-FR"/>
        </w:rPr>
        <w:t>Cas particuliers</w:t>
      </w:r>
    </w:p>
    <w:p w14:paraId="161ADD25"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1FA28E23"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Conjoints travaillant dans la même entreprise</w:t>
      </w:r>
    </w:p>
    <w:p w14:paraId="3A33A94F"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6AF3184F"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Lorsque le logement est occupé par les deux conjoints, les cotisations versées à ce </w:t>
      </w:r>
      <w:r>
        <w:rPr>
          <w:rFonts w:ascii="Times New Roman" w:eastAsia="Times New Roman" w:hAnsi="Times New Roman" w:cs="Times New Roman"/>
          <w:sz w:val="24"/>
          <w:szCs w:val="24"/>
          <w:lang w:eastAsia="fr-FR"/>
        </w:rPr>
        <w:tab/>
        <w:t>titre sont supportées :</w:t>
      </w:r>
    </w:p>
    <w:p w14:paraId="0AF87C0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9BAA640"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par le conjoint dont le contrat de travail prévoit l’avantage en nature ;</w:t>
      </w:r>
    </w:p>
    <w:p w14:paraId="0888EEAC"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par chacun d’eux, pour la moitié de l’évaluation de l’avantage obtenue en fonction de leur salaire, si les deux contrats prévoient l’avantage ou si aucun des deux ne le prévoit.</w:t>
      </w:r>
    </w:p>
    <w:p w14:paraId="0838F50F"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C1DF940"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Salariés logés par nécessité absolue de service</w:t>
      </w:r>
    </w:p>
    <w:p w14:paraId="74EFB396"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2AC96932" w14:textId="77777777" w:rsidR="00805DC0" w:rsidRDefault="00956C8C" w:rsidP="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salariés qui ne peuvent accomplir leur travail (sécurité, gardiennage, etc.) sans </w:t>
      </w:r>
      <w:r>
        <w:rPr>
          <w:rFonts w:ascii="Times New Roman" w:eastAsia="Times New Roman" w:hAnsi="Times New Roman" w:cs="Times New Roman"/>
          <w:sz w:val="24"/>
          <w:szCs w:val="24"/>
          <w:lang w:eastAsia="fr-FR"/>
        </w:rPr>
        <w:tab/>
        <w:t xml:space="preserve">être logés dans les locaux où ils exercent leurs fonctions bénéficient d’un abattement </w:t>
      </w:r>
      <w:r>
        <w:rPr>
          <w:rFonts w:ascii="Times New Roman" w:eastAsia="Times New Roman" w:hAnsi="Times New Roman" w:cs="Times New Roman"/>
          <w:sz w:val="24"/>
          <w:szCs w:val="24"/>
          <w:lang w:eastAsia="fr-FR"/>
        </w:rPr>
        <w:tab/>
        <w:t xml:space="preserve">pour sujétion de 30 % sur la valeur de l’avantage en nature dont ils bénéficient (circ. </w:t>
      </w:r>
      <w:r>
        <w:rPr>
          <w:rFonts w:ascii="Times New Roman" w:eastAsia="Times New Roman" w:hAnsi="Times New Roman" w:cs="Times New Roman"/>
          <w:sz w:val="24"/>
          <w:szCs w:val="24"/>
          <w:lang w:eastAsia="fr-FR"/>
        </w:rPr>
        <w:tab/>
        <w:t xml:space="preserve">DSS/SDFSS/5B </w:t>
      </w:r>
      <w:hyperlink r:id="rId16" w:history="1">
        <w:r>
          <w:rPr>
            <w:rFonts w:ascii="Times New Roman" w:eastAsia="Times New Roman" w:hAnsi="Times New Roman" w:cs="Times New Roman"/>
            <w:color w:val="0000FF"/>
            <w:sz w:val="24"/>
            <w:szCs w:val="24"/>
            <w:u w:val="single"/>
            <w:lang w:eastAsia="fr-FR"/>
          </w:rPr>
          <w:t>2003-7</w:t>
        </w:r>
      </w:hyperlink>
      <w:r>
        <w:rPr>
          <w:rFonts w:ascii="Times New Roman" w:eastAsia="Times New Roman" w:hAnsi="Times New Roman" w:cs="Times New Roman"/>
          <w:sz w:val="24"/>
          <w:szCs w:val="24"/>
          <w:lang w:eastAsia="fr-FR"/>
        </w:rPr>
        <w:t xml:space="preserve"> du 7 janvier 2003). Cet abattement s’applique :</w:t>
      </w:r>
    </w:p>
    <w:p w14:paraId="0BD565A1" w14:textId="77777777" w:rsidR="00805DC0" w:rsidRDefault="00805DC0" w:rsidP="00956C8C">
      <w:pPr>
        <w:pStyle w:val="Standard"/>
        <w:spacing w:before="28" w:after="28" w:line="240" w:lineRule="auto"/>
        <w:jc w:val="both"/>
        <w:rPr>
          <w:rFonts w:ascii="Times New Roman" w:eastAsia="Times New Roman" w:hAnsi="Times New Roman" w:cs="Times New Roman"/>
          <w:sz w:val="24"/>
          <w:szCs w:val="24"/>
          <w:lang w:eastAsia="fr-FR"/>
        </w:rPr>
      </w:pPr>
    </w:p>
    <w:p w14:paraId="14A88963"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lastRenderedPageBreak/>
        <w:t>sur la valeur locative servant à l’établissement de la taxe d’habitation, lorsque l’avantage en nature est évalué au réel ;</w:t>
      </w:r>
    </w:p>
    <w:p w14:paraId="20AB61C6" w14:textId="77777777" w:rsidR="00805DC0" w:rsidRDefault="00956C8C" w:rsidP="00956C8C">
      <w:pPr>
        <w:pStyle w:val="Standard"/>
        <w:numPr>
          <w:ilvl w:val="0"/>
          <w:numId w:val="8"/>
        </w:numPr>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sur l’évaluation forfaitaire, lorsque c’est cette solution qui est retenue pour évaluer l’avantage en nature.</w:t>
      </w:r>
    </w:p>
    <w:p w14:paraId="69D2B55B" w14:textId="77777777" w:rsidR="00956C8C" w:rsidRDefault="00956C8C" w:rsidP="00956C8C">
      <w:pPr>
        <w:pStyle w:val="Standard"/>
        <w:spacing w:before="28" w:after="28" w:line="240" w:lineRule="auto"/>
        <w:ind w:left="1068"/>
        <w:rPr>
          <w:rFonts w:ascii="Times New Roman" w:eastAsia="Times New Roman" w:hAnsi="Times New Roman" w:cs="Times New Roman"/>
          <w:sz w:val="24"/>
          <w:szCs w:val="24"/>
          <w:lang w:eastAsia="fr-FR"/>
        </w:rPr>
      </w:pPr>
    </w:p>
    <w:p w14:paraId="53844863"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dépenses engagées par l’employeur pour le compte du salarié pour les avantages accessoires (eau, gaz, électricité, chauffage, garage) ne peuvent se voir appliquer l’abattement de 30 %.</w:t>
      </w:r>
    </w:p>
    <w:p w14:paraId="14D9E02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77DD28"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Fourniture gratuite d’un logement et usage en partie professionnel</w:t>
      </w:r>
    </w:p>
    <w:p w14:paraId="626BFD7A"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63E82921"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L’employeur doit exclure de l’avantage en nature la partie du logement à usage </w:t>
      </w:r>
      <w:r>
        <w:rPr>
          <w:rFonts w:ascii="Times New Roman" w:eastAsia="Times New Roman" w:hAnsi="Times New Roman" w:cs="Times New Roman"/>
          <w:sz w:val="24"/>
          <w:szCs w:val="24"/>
          <w:lang w:eastAsia="fr-FR"/>
        </w:rPr>
        <w:tab/>
        <w:t xml:space="preserve">professionnel, à condition que le contrat de mise à disposition indique le nombre de </w:t>
      </w:r>
      <w:r>
        <w:rPr>
          <w:rFonts w:ascii="Times New Roman" w:eastAsia="Times New Roman" w:hAnsi="Times New Roman" w:cs="Times New Roman"/>
          <w:sz w:val="24"/>
          <w:szCs w:val="24"/>
          <w:lang w:eastAsia="fr-FR"/>
        </w:rPr>
        <w:tab/>
        <w:t xml:space="preserve">pièces réservées à l’usage privé et le nombre de pièces réservées à l’usage </w:t>
      </w:r>
      <w:r>
        <w:rPr>
          <w:rFonts w:ascii="Times New Roman" w:eastAsia="Times New Roman" w:hAnsi="Times New Roman" w:cs="Times New Roman"/>
          <w:sz w:val="24"/>
          <w:szCs w:val="24"/>
          <w:lang w:eastAsia="fr-FR"/>
        </w:rPr>
        <w:tab/>
        <w:t xml:space="preserve">professionnel (circ. DSS/SDFSS/5B </w:t>
      </w:r>
      <w:hyperlink r:id="rId17" w:history="1">
        <w:r>
          <w:rPr>
            <w:rFonts w:ascii="Times New Roman" w:eastAsia="Times New Roman" w:hAnsi="Times New Roman" w:cs="Times New Roman"/>
            <w:color w:val="0000FF"/>
            <w:sz w:val="24"/>
            <w:szCs w:val="24"/>
            <w:u w:val="single"/>
            <w:lang w:eastAsia="fr-FR"/>
          </w:rPr>
          <w:t>2005-389</w:t>
        </w:r>
      </w:hyperlink>
      <w:r>
        <w:rPr>
          <w:rFonts w:ascii="Times New Roman" w:eastAsia="Times New Roman" w:hAnsi="Times New Roman" w:cs="Times New Roman"/>
          <w:sz w:val="24"/>
          <w:szCs w:val="24"/>
          <w:lang w:eastAsia="fr-FR"/>
        </w:rPr>
        <w:t xml:space="preserve"> du 19 août 2005, question/réponse 8).</w:t>
      </w:r>
    </w:p>
    <w:p w14:paraId="5C7EC1D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DF0956"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l’employeur a opté pour une évaluation selon la valeur locative ou la valeur réelle, </w:t>
      </w:r>
      <w:r>
        <w:rPr>
          <w:rFonts w:ascii="Times New Roman" w:eastAsia="Times New Roman" w:hAnsi="Times New Roman" w:cs="Times New Roman"/>
          <w:sz w:val="24"/>
          <w:szCs w:val="24"/>
          <w:lang w:eastAsia="fr-FR"/>
        </w:rPr>
        <w:tab/>
        <w:t xml:space="preserve">la valeur de l’avantage en nature s’obtient en proratisant la valeur locative ou la valeur </w:t>
      </w:r>
      <w:r>
        <w:rPr>
          <w:rFonts w:ascii="Times New Roman" w:eastAsia="Times New Roman" w:hAnsi="Times New Roman" w:cs="Times New Roman"/>
          <w:sz w:val="24"/>
          <w:szCs w:val="24"/>
          <w:lang w:eastAsia="fr-FR"/>
        </w:rPr>
        <w:tab/>
        <w:t xml:space="preserve">réelle par le rapport « superficie à usage privé/superficie totale ». Le même principe </w:t>
      </w:r>
      <w:r>
        <w:rPr>
          <w:rFonts w:ascii="Times New Roman" w:eastAsia="Times New Roman" w:hAnsi="Times New Roman" w:cs="Times New Roman"/>
          <w:sz w:val="24"/>
          <w:szCs w:val="24"/>
          <w:lang w:eastAsia="fr-FR"/>
        </w:rPr>
        <w:tab/>
        <w:t>s’applique aux avantages accessoires.</w:t>
      </w:r>
    </w:p>
    <w:p w14:paraId="5875CC82"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A336DC5"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Si l’employeur a opté pour le forfait, l’avantage en nature est évalué en tenant compte </w:t>
      </w:r>
      <w:r>
        <w:rPr>
          <w:rFonts w:ascii="Times New Roman" w:eastAsia="Times New Roman" w:hAnsi="Times New Roman" w:cs="Times New Roman"/>
          <w:sz w:val="24"/>
          <w:szCs w:val="24"/>
          <w:lang w:eastAsia="fr-FR"/>
        </w:rPr>
        <w:tab/>
        <w:t>du nombre de pièces réservées à l’usage privé.</w:t>
      </w:r>
    </w:p>
    <w:p w14:paraId="6206F08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3F46AD08"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Logements collectifs</w:t>
      </w:r>
    </w:p>
    <w:p w14:paraId="1568F003"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75CC7057"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Les logements à caractère collectif, tels que les logements en dortoir ou baraquement, </w:t>
      </w:r>
      <w:r>
        <w:rPr>
          <w:rFonts w:ascii="Times New Roman" w:eastAsia="Times New Roman" w:hAnsi="Times New Roman" w:cs="Times New Roman"/>
          <w:sz w:val="24"/>
          <w:szCs w:val="24"/>
          <w:lang w:eastAsia="fr-FR"/>
        </w:rPr>
        <w:tab/>
        <w:t>ne constituent pas un avantage en nature.</w:t>
      </w:r>
    </w:p>
    <w:p w14:paraId="3EFE9DDC"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8FADC42"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6" w:name="7"/>
      <w:bookmarkEnd w:id="6"/>
      <w:r>
        <w:rPr>
          <w:rFonts w:ascii="Times New Roman" w:eastAsia="Times New Roman" w:hAnsi="Times New Roman" w:cs="Times New Roman"/>
          <w:b/>
          <w:bCs/>
          <w:sz w:val="36"/>
          <w:szCs w:val="36"/>
          <w:lang w:eastAsia="fr-FR"/>
        </w:rPr>
        <w:t>Règles d’évaluation communes</w:t>
      </w:r>
    </w:p>
    <w:p w14:paraId="5AE0B9ED"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7A498CC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Évaluation mensuelle -</w:t>
      </w:r>
    </w:p>
    <w:p w14:paraId="72AB1D76"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9963047" w14:textId="77777777" w:rsidR="00805DC0" w:rsidRDefault="00956C8C" w:rsidP="00956C8C">
      <w:pPr>
        <w:pStyle w:val="Standard"/>
        <w:spacing w:before="28" w:after="28" w:line="240" w:lineRule="auto"/>
        <w:ind w:left="705"/>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évaluations correspondent à des valeurs mensuelles. </w:t>
      </w:r>
      <w:r w:rsidRPr="00956C8C">
        <w:rPr>
          <w:rFonts w:ascii="Times New Roman" w:eastAsia="Times New Roman" w:hAnsi="Times New Roman" w:cs="Times New Roman"/>
          <w:b/>
          <w:sz w:val="24"/>
          <w:szCs w:val="24"/>
          <w:lang w:eastAsia="fr-FR"/>
        </w:rPr>
        <w:t xml:space="preserve">L’évaluation par semaine </w:t>
      </w:r>
      <w:r>
        <w:rPr>
          <w:rFonts w:ascii="Times New Roman" w:eastAsia="Times New Roman" w:hAnsi="Times New Roman" w:cs="Times New Roman"/>
          <w:b/>
          <w:sz w:val="24"/>
          <w:szCs w:val="24"/>
          <w:lang w:eastAsia="fr-FR"/>
        </w:rPr>
        <w:t xml:space="preserve">est </w:t>
      </w:r>
      <w:r w:rsidRPr="00956C8C">
        <w:rPr>
          <w:rFonts w:ascii="Times New Roman" w:eastAsia="Times New Roman" w:hAnsi="Times New Roman" w:cs="Times New Roman"/>
          <w:b/>
          <w:sz w:val="24"/>
          <w:szCs w:val="24"/>
          <w:lang w:eastAsia="fr-FR"/>
        </w:rPr>
        <w:t>égale au quart du montant mensuel, arrondi à la diza</w:t>
      </w:r>
      <w:r>
        <w:rPr>
          <w:rFonts w:ascii="Times New Roman" w:eastAsia="Times New Roman" w:hAnsi="Times New Roman" w:cs="Times New Roman"/>
          <w:b/>
          <w:sz w:val="24"/>
          <w:szCs w:val="24"/>
          <w:lang w:eastAsia="fr-FR"/>
        </w:rPr>
        <w:t xml:space="preserve">ine de centimes d’euro la plus </w:t>
      </w:r>
      <w:r w:rsidRPr="00956C8C">
        <w:rPr>
          <w:rFonts w:ascii="Times New Roman" w:eastAsia="Times New Roman" w:hAnsi="Times New Roman" w:cs="Times New Roman"/>
          <w:b/>
          <w:sz w:val="24"/>
          <w:szCs w:val="24"/>
          <w:lang w:eastAsia="fr-FR"/>
        </w:rPr>
        <w:t>proche.</w:t>
      </w:r>
      <w:r>
        <w:rPr>
          <w:rFonts w:ascii="Times New Roman" w:eastAsia="Times New Roman" w:hAnsi="Times New Roman" w:cs="Times New Roman"/>
          <w:sz w:val="24"/>
          <w:szCs w:val="24"/>
          <w:lang w:eastAsia="fr-FR"/>
        </w:rPr>
        <w:t xml:space="preserve"> Ces évaluations s’entendent de semaines ou de mois complets, quel que soit le </w:t>
      </w:r>
      <w:r>
        <w:rPr>
          <w:rFonts w:ascii="Times New Roman" w:eastAsia="Times New Roman" w:hAnsi="Times New Roman" w:cs="Times New Roman"/>
          <w:sz w:val="24"/>
          <w:szCs w:val="24"/>
          <w:lang w:eastAsia="fr-FR"/>
        </w:rPr>
        <w:tab/>
        <w:t>nombre de jours ouvrables.</w:t>
      </w:r>
    </w:p>
    <w:p w14:paraId="01C6E9BD"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4701B840"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Mois incomplet</w:t>
      </w:r>
    </w:p>
    <w:p w14:paraId="280638C2"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1BC3C3A"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En cas de mois incomplet, c’est le </w:t>
      </w:r>
      <w:r w:rsidRPr="00956C8C">
        <w:rPr>
          <w:rFonts w:ascii="Times New Roman" w:eastAsia="Times New Roman" w:hAnsi="Times New Roman" w:cs="Times New Roman"/>
          <w:b/>
          <w:sz w:val="24"/>
          <w:szCs w:val="24"/>
          <w:lang w:eastAsia="fr-FR"/>
        </w:rPr>
        <w:t>nombre de semaines complètes</w:t>
      </w:r>
      <w:r>
        <w:rPr>
          <w:rFonts w:ascii="Times New Roman" w:eastAsia="Times New Roman" w:hAnsi="Times New Roman" w:cs="Times New Roman"/>
          <w:sz w:val="24"/>
          <w:szCs w:val="24"/>
          <w:lang w:eastAsia="fr-FR"/>
        </w:rPr>
        <w:t xml:space="preserve"> qui est pris en </w:t>
      </w:r>
      <w:r>
        <w:rPr>
          <w:rFonts w:ascii="Times New Roman" w:eastAsia="Times New Roman" w:hAnsi="Times New Roman" w:cs="Times New Roman"/>
          <w:sz w:val="24"/>
          <w:szCs w:val="24"/>
          <w:lang w:eastAsia="fr-FR"/>
        </w:rPr>
        <w:tab/>
        <w:t>compte, dans la limite de 4 semaines.</w:t>
      </w:r>
    </w:p>
    <w:p w14:paraId="7D5F3710"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48D05148"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Arrondis des avantages en nature -</w:t>
      </w:r>
    </w:p>
    <w:p w14:paraId="7ACB035B"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594CAFD8"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lastRenderedPageBreak/>
        <w:t xml:space="preserve"> </w:t>
      </w:r>
      <w:r>
        <w:rPr>
          <w:rFonts w:ascii="Times New Roman" w:eastAsia="Times New Roman" w:hAnsi="Times New Roman" w:cs="Times New Roman"/>
          <w:sz w:val="24"/>
          <w:szCs w:val="24"/>
          <w:lang w:eastAsia="fr-FR"/>
        </w:rPr>
        <w:tab/>
        <w:t xml:space="preserve">En cas d’évaluation de l’avantage en nature à sa valeur réelle, le montant obtenu est </w:t>
      </w:r>
      <w:r>
        <w:rPr>
          <w:rFonts w:ascii="Times New Roman" w:eastAsia="Times New Roman" w:hAnsi="Times New Roman" w:cs="Times New Roman"/>
          <w:sz w:val="24"/>
          <w:szCs w:val="24"/>
          <w:lang w:eastAsia="fr-FR"/>
        </w:rPr>
        <w:tab/>
        <w:t>arrondi à la dizaine de centimes d’euro la plus proche.</w:t>
      </w:r>
    </w:p>
    <w:p w14:paraId="6E02DFF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7F57C3AC"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Revalorisation des différents forfaits</w:t>
      </w:r>
    </w:p>
    <w:p w14:paraId="64FAAADF"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7F7A23EB" w14:textId="77777777" w:rsidR="00805DC0" w:rsidRDefault="00956C8C">
      <w:pPr>
        <w:pStyle w:val="Standard"/>
        <w:spacing w:before="28" w:after="28" w:line="240" w:lineRule="auto"/>
        <w:jc w:val="both"/>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Les forfaits en euros sont revalorisés au 1</w:t>
      </w:r>
      <w:r>
        <w:rPr>
          <w:rFonts w:ascii="Times New Roman" w:eastAsia="Times New Roman" w:hAnsi="Times New Roman" w:cs="Times New Roman"/>
          <w:sz w:val="24"/>
          <w:szCs w:val="24"/>
          <w:vertAlign w:val="superscript"/>
          <w:lang w:eastAsia="fr-FR"/>
        </w:rPr>
        <w:t>er</w:t>
      </w:r>
      <w:r>
        <w:rPr>
          <w:rFonts w:ascii="Times New Roman" w:eastAsia="Times New Roman" w:hAnsi="Times New Roman" w:cs="Times New Roman"/>
          <w:sz w:val="24"/>
          <w:szCs w:val="24"/>
          <w:lang w:eastAsia="fr-FR"/>
        </w:rPr>
        <w:t> janvier de chaque année.</w:t>
      </w:r>
    </w:p>
    <w:p w14:paraId="0BC0F8B1"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05115DC5"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7" w:name="8"/>
      <w:bookmarkEnd w:id="7"/>
      <w:r>
        <w:rPr>
          <w:rFonts w:ascii="Times New Roman" w:eastAsia="Times New Roman" w:hAnsi="Times New Roman" w:cs="Times New Roman"/>
          <w:b/>
          <w:bCs/>
          <w:sz w:val="36"/>
          <w:szCs w:val="36"/>
          <w:lang w:eastAsia="fr-FR"/>
        </w:rPr>
        <w:t>Évaluation pour le net imposable</w:t>
      </w:r>
    </w:p>
    <w:p w14:paraId="0646FC47"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C48DBA0"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Pour l’imposition des revenus, il est possible d’évaluer l’avantage en nature logement </w:t>
      </w:r>
      <w:r>
        <w:rPr>
          <w:rFonts w:ascii="Times New Roman" w:eastAsia="Times New Roman" w:hAnsi="Times New Roman" w:cs="Times New Roman"/>
          <w:sz w:val="24"/>
          <w:szCs w:val="24"/>
          <w:lang w:eastAsia="fr-FR"/>
        </w:rPr>
        <w:tab/>
        <w:t xml:space="preserve">au forfait ou au réel pour la détermination du revenu imposable, selon les mêmes </w:t>
      </w:r>
      <w:r>
        <w:rPr>
          <w:rFonts w:ascii="Times New Roman" w:eastAsia="Times New Roman" w:hAnsi="Times New Roman" w:cs="Times New Roman"/>
          <w:sz w:val="24"/>
          <w:szCs w:val="24"/>
          <w:lang w:eastAsia="fr-FR"/>
        </w:rPr>
        <w:tab/>
        <w:t xml:space="preserve">modalités que celles prévues pour ce qui concerne l’assiette des cotisations de sécurité </w:t>
      </w:r>
      <w:r>
        <w:rPr>
          <w:rFonts w:ascii="Times New Roman" w:eastAsia="Times New Roman" w:hAnsi="Times New Roman" w:cs="Times New Roman"/>
          <w:sz w:val="24"/>
          <w:szCs w:val="24"/>
          <w:lang w:eastAsia="fr-FR"/>
        </w:rPr>
        <w:tab/>
        <w:t xml:space="preserve">sociale, quelle que soit la rémunération brute en espèces du salarié (CGI art. </w:t>
      </w:r>
      <w:hyperlink r:id="rId18" w:history="1">
        <w:r>
          <w:rPr>
            <w:rFonts w:ascii="Times New Roman" w:eastAsia="Times New Roman" w:hAnsi="Times New Roman" w:cs="Times New Roman"/>
            <w:color w:val="0000FF"/>
            <w:sz w:val="24"/>
            <w:szCs w:val="24"/>
            <w:u w:val="single"/>
            <w:lang w:eastAsia="fr-FR"/>
          </w:rPr>
          <w:t>82</w:t>
        </w:r>
      </w:hyperlink>
      <w:r>
        <w:rPr>
          <w:rFonts w:ascii="Times New Roman" w:eastAsia="Times New Roman" w:hAnsi="Times New Roman" w:cs="Times New Roman"/>
          <w:sz w:val="24"/>
          <w:szCs w:val="24"/>
          <w:lang w:eastAsia="fr-FR"/>
        </w:rPr>
        <w:t xml:space="preserve">, BO 5 </w:t>
      </w:r>
      <w:r>
        <w:rPr>
          <w:rFonts w:ascii="Times New Roman" w:eastAsia="Times New Roman" w:hAnsi="Times New Roman" w:cs="Times New Roman"/>
          <w:sz w:val="24"/>
          <w:szCs w:val="24"/>
          <w:lang w:eastAsia="fr-FR"/>
        </w:rPr>
        <w:tab/>
        <w:t>F-11-06).</w:t>
      </w:r>
    </w:p>
    <w:p w14:paraId="421E6CEE"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445BE34"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29E9F45"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A50CD65"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48E45F6D"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8" w:name="9"/>
      <w:bookmarkEnd w:id="8"/>
      <w:r>
        <w:rPr>
          <w:rFonts w:ascii="Times New Roman" w:eastAsia="Times New Roman" w:hAnsi="Times New Roman" w:cs="Times New Roman"/>
          <w:b/>
          <w:bCs/>
          <w:sz w:val="36"/>
          <w:szCs w:val="36"/>
          <w:lang w:eastAsia="fr-FR"/>
        </w:rPr>
        <w:t>Dirigeants</w:t>
      </w:r>
    </w:p>
    <w:p w14:paraId="7C2DBA3A" w14:textId="77777777" w:rsidR="00805DC0" w:rsidRDefault="00805DC0">
      <w:pPr>
        <w:pStyle w:val="Standard"/>
        <w:spacing w:before="28" w:after="28" w:line="240" w:lineRule="auto"/>
        <w:rPr>
          <w:rFonts w:ascii="Times New Roman" w:eastAsia="Times New Roman" w:hAnsi="Times New Roman" w:cs="Times New Roman"/>
          <w:b/>
          <w:bCs/>
          <w:sz w:val="36"/>
          <w:szCs w:val="36"/>
          <w:lang w:eastAsia="fr-FR"/>
        </w:rPr>
      </w:pPr>
    </w:p>
    <w:p w14:paraId="014E36EA" w14:textId="77777777" w:rsidR="00805DC0" w:rsidRDefault="00956C8C">
      <w:pPr>
        <w:pStyle w:val="Standard"/>
        <w:spacing w:before="28" w:after="28" w:line="240" w:lineRule="auto"/>
        <w:jc w:val="both"/>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Assiette des cotisations</w:t>
      </w:r>
    </w:p>
    <w:p w14:paraId="309D5B97" w14:textId="77777777" w:rsidR="00805DC0" w:rsidRDefault="00805DC0">
      <w:pPr>
        <w:pStyle w:val="Standard"/>
        <w:spacing w:before="28" w:after="28" w:line="240" w:lineRule="auto"/>
        <w:jc w:val="both"/>
        <w:rPr>
          <w:rFonts w:ascii="Times New Roman" w:eastAsia="Times New Roman" w:hAnsi="Times New Roman" w:cs="Times New Roman"/>
          <w:b/>
          <w:bCs/>
          <w:sz w:val="24"/>
          <w:szCs w:val="24"/>
          <w:lang w:eastAsia="fr-FR"/>
        </w:rPr>
      </w:pPr>
    </w:p>
    <w:p w14:paraId="1FCF8C9F"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Lorsqu’il est octroyé en contrepartie du mandat social, l’avantage en nature logement </w:t>
      </w:r>
      <w:r>
        <w:rPr>
          <w:rFonts w:ascii="Times New Roman" w:eastAsia="Times New Roman" w:hAnsi="Times New Roman" w:cs="Times New Roman"/>
          <w:sz w:val="24"/>
          <w:szCs w:val="24"/>
          <w:lang w:eastAsia="fr-FR"/>
        </w:rPr>
        <w:tab/>
        <w:t>doit, dans tous les cas, être évalué selon la valeur réelle pour :</w:t>
      </w:r>
    </w:p>
    <w:p w14:paraId="785269CA" w14:textId="77777777" w:rsidR="00956C8C" w:rsidRDefault="00956C8C" w:rsidP="00956C8C">
      <w:pPr>
        <w:pStyle w:val="Standard"/>
        <w:spacing w:before="28" w:after="28" w:line="240" w:lineRule="auto"/>
        <w:jc w:val="both"/>
        <w:rPr>
          <w:rFonts w:ascii="Times New Roman" w:eastAsia="Times New Roman" w:hAnsi="Times New Roman" w:cs="Times New Roman"/>
          <w:sz w:val="24"/>
          <w:szCs w:val="24"/>
          <w:lang w:eastAsia="fr-FR"/>
        </w:rPr>
      </w:pPr>
    </w:p>
    <w:p w14:paraId="0CB17185" w14:textId="77777777" w:rsidR="00805DC0" w:rsidRPr="00956C8C" w:rsidRDefault="00956C8C" w:rsidP="00956C8C">
      <w:pPr>
        <w:pStyle w:val="Standard"/>
        <w:numPr>
          <w:ilvl w:val="0"/>
          <w:numId w:val="8"/>
        </w:numPr>
        <w:spacing w:before="28" w:after="28" w:line="240" w:lineRule="auto"/>
        <w:jc w:val="both"/>
        <w:rPr>
          <w:rFonts w:ascii="Times New Roman" w:eastAsia="Times New Roman" w:hAnsi="Times New Roman" w:cs="Times New Roman"/>
          <w:b/>
          <w:sz w:val="24"/>
          <w:szCs w:val="24"/>
          <w:lang w:eastAsia="fr-FR"/>
        </w:rPr>
      </w:pPr>
      <w:r>
        <w:rPr>
          <w:rFonts w:ascii="Times New Roman" w:eastAsia="Times New Roman" w:hAnsi="Times New Roman" w:cs="Times New Roman"/>
          <w:sz w:val="24"/>
          <w:szCs w:val="24"/>
          <w:lang w:eastAsia="fr-FR"/>
        </w:rPr>
        <w:t xml:space="preserve">les </w:t>
      </w:r>
      <w:r w:rsidRPr="00956C8C">
        <w:rPr>
          <w:rFonts w:ascii="Times New Roman" w:eastAsia="Times New Roman" w:hAnsi="Times New Roman" w:cs="Times New Roman"/>
          <w:b/>
          <w:sz w:val="24"/>
          <w:szCs w:val="24"/>
          <w:lang w:eastAsia="fr-FR"/>
        </w:rPr>
        <w:t>gérants minoritaires</w:t>
      </w:r>
      <w:r>
        <w:rPr>
          <w:rFonts w:ascii="Times New Roman" w:eastAsia="Times New Roman" w:hAnsi="Times New Roman" w:cs="Times New Roman"/>
          <w:sz w:val="24"/>
          <w:szCs w:val="24"/>
          <w:lang w:eastAsia="fr-FR"/>
        </w:rPr>
        <w:t xml:space="preserve"> et </w:t>
      </w:r>
      <w:r w:rsidRPr="00956C8C">
        <w:rPr>
          <w:rFonts w:ascii="Times New Roman" w:eastAsia="Times New Roman" w:hAnsi="Times New Roman" w:cs="Times New Roman"/>
          <w:b/>
          <w:sz w:val="24"/>
          <w:szCs w:val="24"/>
          <w:lang w:eastAsia="fr-FR"/>
        </w:rPr>
        <w:t>égalitaires de SARL</w:t>
      </w:r>
      <w:r>
        <w:rPr>
          <w:rFonts w:ascii="Times New Roman" w:eastAsia="Times New Roman" w:hAnsi="Times New Roman" w:cs="Times New Roman"/>
          <w:sz w:val="24"/>
          <w:szCs w:val="24"/>
          <w:lang w:eastAsia="fr-FR"/>
        </w:rPr>
        <w:t xml:space="preserve"> ou de </w:t>
      </w:r>
      <w:r w:rsidRPr="00956C8C">
        <w:rPr>
          <w:rFonts w:ascii="Times New Roman" w:eastAsia="Times New Roman" w:hAnsi="Times New Roman" w:cs="Times New Roman"/>
          <w:b/>
          <w:sz w:val="24"/>
          <w:szCs w:val="24"/>
          <w:lang w:eastAsia="fr-FR"/>
        </w:rPr>
        <w:t>sociétés d’exercice libéral à responsabilité limitée ;</w:t>
      </w:r>
    </w:p>
    <w:p w14:paraId="0E5CB23E"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les </w:t>
      </w:r>
      <w:r w:rsidRPr="00956C8C">
        <w:rPr>
          <w:rFonts w:ascii="Times New Roman" w:eastAsia="Times New Roman" w:hAnsi="Times New Roman" w:cs="Times New Roman"/>
          <w:b/>
          <w:sz w:val="24"/>
          <w:szCs w:val="24"/>
          <w:lang w:eastAsia="fr-FR"/>
        </w:rPr>
        <w:t>présidents-directeurs</w:t>
      </w:r>
      <w:r>
        <w:rPr>
          <w:rFonts w:ascii="Times New Roman" w:eastAsia="Times New Roman" w:hAnsi="Times New Roman" w:cs="Times New Roman"/>
          <w:sz w:val="24"/>
          <w:szCs w:val="24"/>
          <w:lang w:eastAsia="fr-FR"/>
        </w:rPr>
        <w:t xml:space="preserve"> et </w:t>
      </w:r>
      <w:r w:rsidRPr="00956C8C">
        <w:rPr>
          <w:rFonts w:ascii="Times New Roman" w:eastAsia="Times New Roman" w:hAnsi="Times New Roman" w:cs="Times New Roman"/>
          <w:b/>
          <w:sz w:val="24"/>
          <w:szCs w:val="24"/>
          <w:lang w:eastAsia="fr-FR"/>
        </w:rPr>
        <w:t>directeurs généraux  des  SA</w:t>
      </w:r>
      <w:r>
        <w:rPr>
          <w:rFonts w:ascii="Times New Roman" w:eastAsia="Times New Roman" w:hAnsi="Times New Roman" w:cs="Times New Roman"/>
          <w:sz w:val="24"/>
          <w:szCs w:val="24"/>
          <w:lang w:eastAsia="fr-FR"/>
        </w:rPr>
        <w:t xml:space="preserve"> et des sociétés d’exercice libéral à forme anonyme ;</w:t>
      </w:r>
    </w:p>
    <w:p w14:paraId="152EAD79" w14:textId="77777777" w:rsidR="00805DC0" w:rsidRDefault="00956C8C" w:rsidP="00956C8C">
      <w:pPr>
        <w:pStyle w:val="Standard"/>
        <w:numPr>
          <w:ilvl w:val="0"/>
          <w:numId w:val="8"/>
        </w:numPr>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les présidents et dirigeants des sociétés par actions simplifiées.</w:t>
      </w:r>
    </w:p>
    <w:p w14:paraId="3AC1B03B"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3392A6E5" w14:textId="77777777" w:rsidR="00805DC0" w:rsidRDefault="00956C8C" w:rsidP="00956C8C">
      <w:pPr>
        <w:pStyle w:val="Standard"/>
        <w:spacing w:before="28" w:after="28" w:line="240" w:lineRule="auto"/>
        <w:ind w:left="705"/>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Lorsque l’employeur fournit un logement à un mandataire social au titre d’un contrat </w:t>
      </w:r>
      <w:r>
        <w:rPr>
          <w:rFonts w:ascii="Times New Roman" w:eastAsia="Times New Roman" w:hAnsi="Times New Roman" w:cs="Times New Roman"/>
          <w:sz w:val="24"/>
          <w:szCs w:val="24"/>
          <w:lang w:eastAsia="fr-FR"/>
        </w:rPr>
        <w:tab/>
        <w:t xml:space="preserve">de travail, l’avantage en nature logement peut être évalué selon le barème forfaitaire, </w:t>
      </w:r>
      <w:r>
        <w:rPr>
          <w:rFonts w:ascii="Times New Roman" w:eastAsia="Times New Roman" w:hAnsi="Times New Roman" w:cs="Times New Roman"/>
          <w:sz w:val="24"/>
          <w:szCs w:val="24"/>
          <w:lang w:eastAsia="fr-FR"/>
        </w:rPr>
        <w:tab/>
      </w:r>
      <w:r w:rsidRPr="00956C8C">
        <w:rPr>
          <w:rFonts w:ascii="Times New Roman" w:eastAsia="Times New Roman" w:hAnsi="Times New Roman" w:cs="Times New Roman"/>
          <w:b/>
          <w:sz w:val="24"/>
          <w:szCs w:val="24"/>
          <w:lang w:eastAsia="fr-FR"/>
        </w:rPr>
        <w:t xml:space="preserve">mais en tenant compte de la seule rémunération brute correspondant au contrat </w:t>
      </w:r>
      <w:r>
        <w:rPr>
          <w:rFonts w:ascii="Times New Roman" w:eastAsia="Times New Roman" w:hAnsi="Times New Roman" w:cs="Times New Roman"/>
          <w:b/>
          <w:sz w:val="24"/>
          <w:szCs w:val="24"/>
          <w:lang w:eastAsia="fr-FR"/>
        </w:rPr>
        <w:t xml:space="preserve">de </w:t>
      </w:r>
      <w:r w:rsidRPr="00956C8C">
        <w:rPr>
          <w:rFonts w:ascii="Times New Roman" w:eastAsia="Times New Roman" w:hAnsi="Times New Roman" w:cs="Times New Roman"/>
          <w:b/>
          <w:sz w:val="24"/>
          <w:szCs w:val="24"/>
          <w:lang w:eastAsia="fr-FR"/>
        </w:rPr>
        <w:t>travail</w:t>
      </w:r>
      <w:r>
        <w:rPr>
          <w:rFonts w:ascii="Times New Roman" w:eastAsia="Times New Roman" w:hAnsi="Times New Roman" w:cs="Times New Roman"/>
          <w:sz w:val="24"/>
          <w:szCs w:val="24"/>
          <w:lang w:eastAsia="fr-FR"/>
        </w:rPr>
        <w:t xml:space="preserve"> et en ignorant les rémunérations du mandat social</w:t>
      </w:r>
    </w:p>
    <w:p w14:paraId="1C196268"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14E0E0A3" w14:textId="77777777" w:rsidR="00805DC0" w:rsidRDefault="00956C8C">
      <w:pPr>
        <w:pStyle w:val="Standard"/>
        <w:spacing w:before="28" w:after="28" w:line="24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Impôt sur le revenu</w:t>
      </w:r>
    </w:p>
    <w:p w14:paraId="1216912E" w14:textId="77777777" w:rsidR="00805DC0" w:rsidRDefault="00805DC0">
      <w:pPr>
        <w:pStyle w:val="Standard"/>
        <w:spacing w:before="28" w:after="28" w:line="240" w:lineRule="auto"/>
        <w:rPr>
          <w:rFonts w:ascii="Times New Roman" w:eastAsia="Times New Roman" w:hAnsi="Times New Roman" w:cs="Times New Roman"/>
          <w:b/>
          <w:bCs/>
          <w:sz w:val="24"/>
          <w:szCs w:val="24"/>
          <w:lang w:eastAsia="fr-FR"/>
        </w:rPr>
      </w:pPr>
    </w:p>
    <w:p w14:paraId="06CC3B86" w14:textId="77777777" w:rsidR="00805DC0" w:rsidRDefault="00956C8C">
      <w:pPr>
        <w:pStyle w:val="Standard"/>
        <w:spacing w:before="28" w:after="28" w:line="240" w:lineRule="auto"/>
      </w:pPr>
      <w:r>
        <w:rPr>
          <w:rFonts w:ascii="Times New Roman" w:eastAsia="Times New Roman" w:hAnsi="Times New Roman" w:cs="Times New Roman"/>
          <w:b/>
          <w:bCs/>
          <w:sz w:val="24"/>
          <w:szCs w:val="24"/>
          <w:lang w:eastAsia="fr-FR"/>
        </w:rPr>
        <w:tab/>
      </w:r>
      <w:r>
        <w:rPr>
          <w:rFonts w:ascii="Times New Roman" w:eastAsia="Times New Roman" w:hAnsi="Times New Roman" w:cs="Times New Roman"/>
          <w:sz w:val="24"/>
          <w:szCs w:val="24"/>
          <w:lang w:eastAsia="fr-FR"/>
        </w:rPr>
        <w:t xml:space="preserve"> En matière fiscale, l’avantage en nature logement des dirigeants doit toujours être </w:t>
      </w:r>
      <w:r>
        <w:rPr>
          <w:rFonts w:ascii="Times New Roman" w:eastAsia="Times New Roman" w:hAnsi="Times New Roman" w:cs="Times New Roman"/>
          <w:sz w:val="24"/>
          <w:szCs w:val="24"/>
          <w:lang w:eastAsia="fr-FR"/>
        </w:rPr>
        <w:tab/>
        <w:t>évalué au réel</w:t>
      </w:r>
    </w:p>
    <w:p w14:paraId="641444CA"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ab/>
        <w:t xml:space="preserve">Si le dirigeant est en mesure de justifier du cumul de son mandat social avec un contrat </w:t>
      </w:r>
      <w:r>
        <w:rPr>
          <w:rFonts w:ascii="Times New Roman" w:eastAsia="Times New Roman" w:hAnsi="Times New Roman" w:cs="Times New Roman"/>
          <w:sz w:val="24"/>
          <w:szCs w:val="24"/>
          <w:lang w:eastAsia="fr-FR"/>
        </w:rPr>
        <w:tab/>
        <w:t xml:space="preserve">de travail, l’avantage en nature peut être évalué au forfait. Cependant, pour </w:t>
      </w:r>
      <w:r>
        <w:rPr>
          <w:rFonts w:ascii="Times New Roman" w:eastAsia="Times New Roman" w:hAnsi="Times New Roman" w:cs="Times New Roman"/>
          <w:sz w:val="24"/>
          <w:szCs w:val="24"/>
          <w:lang w:eastAsia="fr-FR"/>
        </w:rPr>
        <w:tab/>
        <w:t xml:space="preserve">l’application du barème, il faut ici tenir compte de l’ensemble de la rémunération, </w:t>
      </w:r>
      <w:r>
        <w:rPr>
          <w:rFonts w:ascii="Times New Roman" w:eastAsia="Times New Roman" w:hAnsi="Times New Roman" w:cs="Times New Roman"/>
          <w:sz w:val="24"/>
          <w:szCs w:val="24"/>
          <w:lang w:eastAsia="fr-FR"/>
        </w:rPr>
        <w:tab/>
        <w:t xml:space="preserve">servie tant au titre du contrat de travail que du mandat social, dès lors, en effet, que la </w:t>
      </w:r>
      <w:r>
        <w:rPr>
          <w:rFonts w:ascii="Times New Roman" w:eastAsia="Times New Roman" w:hAnsi="Times New Roman" w:cs="Times New Roman"/>
          <w:sz w:val="24"/>
          <w:szCs w:val="24"/>
          <w:lang w:eastAsia="fr-FR"/>
        </w:rPr>
        <w:lastRenderedPageBreak/>
        <w:tab/>
        <w:t xml:space="preserve">concession du logement se rapporte indistinctement à l’ensemble des fonctions </w:t>
      </w:r>
      <w:r>
        <w:rPr>
          <w:rFonts w:ascii="Times New Roman" w:eastAsia="Times New Roman" w:hAnsi="Times New Roman" w:cs="Times New Roman"/>
          <w:sz w:val="24"/>
          <w:szCs w:val="24"/>
          <w:lang w:eastAsia="fr-FR"/>
        </w:rPr>
        <w:tab/>
        <w:t>(dirigeantes et salariées) (BO 5 F-1-07 du 12 janvier 2007).</w:t>
      </w:r>
    </w:p>
    <w:p w14:paraId="789FF3AA"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2B53AB62" w14:textId="77777777" w:rsidR="00805DC0" w:rsidRDefault="00956C8C">
      <w:pPr>
        <w:pStyle w:val="Standard"/>
        <w:spacing w:before="28" w:after="28" w:line="240" w:lineRule="auto"/>
        <w:jc w:val="both"/>
      </w:pPr>
      <w:r>
        <w:rPr>
          <w:rFonts w:ascii="Times New Roman" w:eastAsia="Times New Roman" w:hAnsi="Times New Roman" w:cs="Times New Roman"/>
          <w:sz w:val="24"/>
          <w:szCs w:val="24"/>
          <w:lang w:eastAsia="fr-FR"/>
        </w:rPr>
        <w:t> </w:t>
      </w:r>
      <w:r>
        <w:rPr>
          <w:rFonts w:ascii="Times New Roman" w:eastAsia="Times New Roman" w:hAnsi="Times New Roman" w:cs="Times New Roman"/>
          <w:b/>
          <w:bCs/>
          <w:sz w:val="24"/>
          <w:szCs w:val="24"/>
          <w:lang w:eastAsia="fr-FR"/>
        </w:rPr>
        <w:t>À noter…</w:t>
      </w:r>
    </w:p>
    <w:p w14:paraId="43E2945C" w14:textId="77777777" w:rsidR="00805DC0" w:rsidRDefault="00805DC0">
      <w:pPr>
        <w:pStyle w:val="Standard"/>
        <w:spacing w:before="28" w:after="28" w:line="240" w:lineRule="auto"/>
        <w:jc w:val="both"/>
        <w:rPr>
          <w:rFonts w:ascii="Times New Roman" w:eastAsia="Times New Roman" w:hAnsi="Times New Roman" w:cs="Times New Roman"/>
          <w:sz w:val="24"/>
          <w:szCs w:val="24"/>
          <w:lang w:eastAsia="fr-FR"/>
        </w:rPr>
      </w:pPr>
    </w:p>
    <w:p w14:paraId="66626B61"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Les dirigeants concernés par cette possibilité d’évaluation forfaitaire sont les gérants </w:t>
      </w:r>
      <w:r>
        <w:rPr>
          <w:rFonts w:ascii="Times New Roman" w:eastAsia="Times New Roman" w:hAnsi="Times New Roman" w:cs="Times New Roman"/>
          <w:sz w:val="24"/>
          <w:szCs w:val="24"/>
          <w:lang w:eastAsia="fr-FR"/>
        </w:rPr>
        <w:tab/>
        <w:t xml:space="preserve">minoritaires ou égalitaires de SARL ou de sociétés d’exercice libéral à responsabilité </w:t>
      </w:r>
      <w:r>
        <w:rPr>
          <w:rFonts w:ascii="Times New Roman" w:eastAsia="Times New Roman" w:hAnsi="Times New Roman" w:cs="Times New Roman"/>
          <w:sz w:val="24"/>
          <w:szCs w:val="24"/>
          <w:lang w:eastAsia="fr-FR"/>
        </w:rPr>
        <w:tab/>
        <w:t xml:space="preserve">limitée (SELARL), les présidents-directeurs et directeurs généraux de SA et de </w:t>
      </w:r>
      <w:r>
        <w:rPr>
          <w:rFonts w:ascii="Times New Roman" w:eastAsia="Times New Roman" w:hAnsi="Times New Roman" w:cs="Times New Roman"/>
          <w:sz w:val="24"/>
          <w:szCs w:val="24"/>
          <w:lang w:eastAsia="fr-FR"/>
        </w:rPr>
        <w:tab/>
        <w:t xml:space="preserve">sociétés d’exercice libéral à forme anonyme (SELAFA) et les présidents et dirigeants </w:t>
      </w:r>
      <w:r>
        <w:rPr>
          <w:rFonts w:ascii="Times New Roman" w:eastAsia="Times New Roman" w:hAnsi="Times New Roman" w:cs="Times New Roman"/>
          <w:sz w:val="24"/>
          <w:szCs w:val="24"/>
          <w:lang w:eastAsia="fr-FR"/>
        </w:rPr>
        <w:tab/>
        <w:t xml:space="preserve">de sociétés par actions simplifiées (SAS), sous réserve qu’il y ait cumul « valable » </w:t>
      </w:r>
      <w:r>
        <w:rPr>
          <w:rFonts w:ascii="Times New Roman" w:eastAsia="Times New Roman" w:hAnsi="Times New Roman" w:cs="Times New Roman"/>
          <w:sz w:val="24"/>
          <w:szCs w:val="24"/>
          <w:lang w:eastAsia="fr-FR"/>
        </w:rPr>
        <w:tab/>
        <w:t>avec un contrat de travail.</w:t>
      </w:r>
    </w:p>
    <w:p w14:paraId="68BE5FE6"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A71D777" w14:textId="77777777" w:rsidR="00956C8C"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9" w:name="10"/>
      <w:bookmarkEnd w:id="9"/>
    </w:p>
    <w:p w14:paraId="2C63D310"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r>
        <w:rPr>
          <w:rFonts w:ascii="Times New Roman" w:eastAsia="Times New Roman" w:hAnsi="Times New Roman" w:cs="Times New Roman"/>
          <w:b/>
          <w:bCs/>
          <w:sz w:val="36"/>
          <w:szCs w:val="36"/>
          <w:lang w:eastAsia="fr-FR"/>
        </w:rPr>
        <w:t>Évaluation pour le respect du SMIC</w:t>
      </w:r>
    </w:p>
    <w:p w14:paraId="0CA4D6B2"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2ACD21E3" w14:textId="77777777" w:rsidR="00805DC0" w:rsidRDefault="00956C8C">
      <w:pPr>
        <w:pStyle w:val="Standard"/>
        <w:spacing w:before="28" w:after="28" w:line="240" w:lineRule="auto"/>
      </w:pPr>
      <w:r>
        <w:rPr>
          <w:rFonts w:ascii="Times New Roman" w:eastAsia="Times New Roman" w:hAnsi="Times New Roman" w:cs="Times New Roman"/>
          <w:sz w:val="24"/>
          <w:szCs w:val="24"/>
          <w:lang w:eastAsia="fr-FR"/>
        </w:rPr>
        <w:tab/>
        <w:t xml:space="preserve">À défaut de convention contraire, l’avantage en nature logement doit être pris en </w:t>
      </w:r>
      <w:r>
        <w:rPr>
          <w:rFonts w:ascii="Times New Roman" w:eastAsia="Times New Roman" w:hAnsi="Times New Roman" w:cs="Times New Roman"/>
          <w:sz w:val="24"/>
          <w:szCs w:val="24"/>
          <w:lang w:eastAsia="fr-FR"/>
        </w:rPr>
        <w:tab/>
        <w:t xml:space="preserve">compte pour 0,02 € par jour (soit 0,02 X 30 = 0,60 € par mois) pour déterminer la </w:t>
      </w:r>
      <w:r>
        <w:rPr>
          <w:rFonts w:ascii="Times New Roman" w:eastAsia="Times New Roman" w:hAnsi="Times New Roman" w:cs="Times New Roman"/>
          <w:sz w:val="24"/>
          <w:szCs w:val="24"/>
          <w:lang w:eastAsia="fr-FR"/>
        </w:rPr>
        <w:tab/>
        <w:t xml:space="preserve">rémunération minimale en espèces à verser au salarié et vérifier le respect du SMIC (c. </w:t>
      </w:r>
      <w:r>
        <w:rPr>
          <w:rFonts w:ascii="Times New Roman" w:eastAsia="Times New Roman" w:hAnsi="Times New Roman" w:cs="Times New Roman"/>
          <w:sz w:val="24"/>
          <w:szCs w:val="24"/>
          <w:lang w:eastAsia="fr-FR"/>
        </w:rPr>
        <w:tab/>
        <w:t xml:space="preserve">trav. </w:t>
      </w:r>
      <w:hyperlink r:id="rId19" w:history="1">
        <w:r>
          <w:rPr>
            <w:rFonts w:ascii="Times New Roman" w:eastAsia="Times New Roman" w:hAnsi="Times New Roman" w:cs="Times New Roman"/>
            <w:color w:val="0000FF"/>
            <w:sz w:val="24"/>
            <w:szCs w:val="24"/>
            <w:u w:val="single"/>
            <w:lang w:eastAsia="fr-FR"/>
          </w:rPr>
          <w:t>art. D. 3231-11</w:t>
        </w:r>
      </w:hyperlink>
      <w:r>
        <w:rPr>
          <w:rFonts w:ascii="Times New Roman" w:eastAsia="Times New Roman" w:hAnsi="Times New Roman" w:cs="Times New Roman"/>
          <w:sz w:val="24"/>
          <w:szCs w:val="24"/>
          <w:lang w:eastAsia="fr-FR"/>
        </w:rPr>
        <w:t>).</w:t>
      </w:r>
    </w:p>
    <w:p w14:paraId="1A99D649"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ABE79AD" w14:textId="77777777" w:rsidR="00805DC0" w:rsidRDefault="00805DC0">
      <w:pPr>
        <w:pStyle w:val="Standard"/>
        <w:spacing w:before="28" w:after="28" w:line="240" w:lineRule="auto"/>
        <w:rPr>
          <w:rFonts w:ascii="Times New Roman" w:eastAsia="Times New Roman" w:hAnsi="Times New Roman" w:cs="Times New Roman"/>
          <w:sz w:val="24"/>
          <w:szCs w:val="24"/>
          <w:lang w:eastAsia="fr-FR"/>
        </w:rPr>
      </w:pPr>
    </w:p>
    <w:p w14:paraId="184E9C72" w14:textId="77777777" w:rsidR="00805DC0" w:rsidRDefault="00956C8C">
      <w:pPr>
        <w:pStyle w:val="Standard"/>
        <w:spacing w:before="28" w:after="28" w:line="240" w:lineRule="auto"/>
        <w:jc w:val="center"/>
        <w:rPr>
          <w:rFonts w:ascii="Times New Roman" w:eastAsia="Times New Roman" w:hAnsi="Times New Roman" w:cs="Times New Roman"/>
          <w:b/>
          <w:bCs/>
          <w:sz w:val="36"/>
          <w:szCs w:val="36"/>
          <w:lang w:eastAsia="fr-FR"/>
        </w:rPr>
      </w:pPr>
      <w:bookmarkStart w:id="10" w:name="11"/>
      <w:bookmarkEnd w:id="10"/>
      <w:r>
        <w:rPr>
          <w:rFonts w:ascii="Times New Roman" w:eastAsia="Times New Roman" w:hAnsi="Times New Roman" w:cs="Times New Roman"/>
          <w:b/>
          <w:bCs/>
          <w:sz w:val="36"/>
          <w:szCs w:val="36"/>
          <w:lang w:eastAsia="fr-FR"/>
        </w:rPr>
        <w:t>Sort du logement en cas d’arrêt maladie</w:t>
      </w:r>
    </w:p>
    <w:p w14:paraId="1AD4768A" w14:textId="77777777" w:rsidR="00805DC0" w:rsidRDefault="00805DC0">
      <w:pPr>
        <w:pStyle w:val="Standard"/>
        <w:spacing w:before="28" w:after="28" w:line="240" w:lineRule="auto"/>
        <w:jc w:val="center"/>
        <w:rPr>
          <w:rFonts w:ascii="Times New Roman" w:eastAsia="Times New Roman" w:hAnsi="Times New Roman" w:cs="Times New Roman"/>
          <w:b/>
          <w:bCs/>
          <w:sz w:val="36"/>
          <w:szCs w:val="36"/>
          <w:lang w:eastAsia="fr-FR"/>
        </w:rPr>
      </w:pPr>
    </w:p>
    <w:p w14:paraId="63D45DA7" w14:textId="77777777" w:rsidR="00805DC0" w:rsidRDefault="00956C8C">
      <w:pPr>
        <w:pStyle w:val="Standard"/>
        <w:spacing w:before="28" w:after="28"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Le logement attribué gratuitement à un salarié pour l’exercice de ses fonctions, qui est </w:t>
      </w:r>
      <w:r>
        <w:rPr>
          <w:rFonts w:ascii="Times New Roman" w:eastAsia="Times New Roman" w:hAnsi="Times New Roman" w:cs="Times New Roman"/>
          <w:sz w:val="24"/>
          <w:szCs w:val="24"/>
          <w:lang w:eastAsia="fr-FR"/>
        </w:rPr>
        <w:tab/>
        <w:t xml:space="preserve">l’accessoire de son contrat de travail et dont il bénéficie dans sa vie personnelle, ne </w:t>
      </w:r>
      <w:r>
        <w:rPr>
          <w:rFonts w:ascii="Times New Roman" w:eastAsia="Times New Roman" w:hAnsi="Times New Roman" w:cs="Times New Roman"/>
          <w:sz w:val="24"/>
          <w:szCs w:val="24"/>
          <w:lang w:eastAsia="fr-FR"/>
        </w:rPr>
        <w:tab/>
        <w:t xml:space="preserve">peut ni être retiré ni donner lieu au versement d’un loyer pendant une période de </w:t>
      </w:r>
      <w:r>
        <w:rPr>
          <w:rFonts w:ascii="Times New Roman" w:eastAsia="Times New Roman" w:hAnsi="Times New Roman" w:cs="Times New Roman"/>
          <w:sz w:val="24"/>
          <w:szCs w:val="24"/>
          <w:lang w:eastAsia="fr-FR"/>
        </w:rPr>
        <w:tab/>
        <w:t>suspension du contrat de travail pour maladie (</w:t>
      </w:r>
      <w:proofErr w:type="spellStart"/>
      <w:r>
        <w:rPr>
          <w:rFonts w:ascii="Times New Roman" w:eastAsia="Times New Roman" w:hAnsi="Times New Roman" w:cs="Times New Roman"/>
          <w:sz w:val="24"/>
          <w:szCs w:val="24"/>
          <w:lang w:eastAsia="fr-FR"/>
        </w:rPr>
        <w:t>cass</w:t>
      </w:r>
      <w:proofErr w:type="spellEnd"/>
      <w:r>
        <w:rPr>
          <w:rFonts w:ascii="Times New Roman" w:eastAsia="Times New Roman" w:hAnsi="Times New Roman" w:cs="Times New Roman"/>
          <w:sz w:val="24"/>
          <w:szCs w:val="24"/>
          <w:lang w:eastAsia="fr-FR"/>
        </w:rPr>
        <w:t xml:space="preserve">. soc. 26 janvier 2011, n° 09-43193, </w:t>
      </w:r>
      <w:r>
        <w:rPr>
          <w:rFonts w:ascii="Times New Roman" w:eastAsia="Times New Roman" w:hAnsi="Times New Roman" w:cs="Times New Roman"/>
          <w:sz w:val="24"/>
          <w:szCs w:val="24"/>
          <w:lang w:eastAsia="fr-FR"/>
        </w:rPr>
        <w:tab/>
        <w:t xml:space="preserve">BC V n° 32). Notons qu’ici, aucune possibilité de stipuler une clause prévoyant le </w:t>
      </w:r>
      <w:r>
        <w:rPr>
          <w:rFonts w:ascii="Times New Roman" w:eastAsia="Times New Roman" w:hAnsi="Times New Roman" w:cs="Times New Roman"/>
          <w:sz w:val="24"/>
          <w:szCs w:val="24"/>
          <w:lang w:eastAsia="fr-FR"/>
        </w:rPr>
        <w:tab/>
        <w:t xml:space="preserve">retrait de l’avantage en nature ne semble être ouverte, comme cela a été admis pour un </w:t>
      </w:r>
      <w:r>
        <w:rPr>
          <w:rFonts w:ascii="Times New Roman" w:eastAsia="Times New Roman" w:hAnsi="Times New Roman" w:cs="Times New Roman"/>
          <w:sz w:val="24"/>
          <w:szCs w:val="24"/>
          <w:lang w:eastAsia="fr-FR"/>
        </w:rPr>
        <w:tab/>
        <w:t>véhicule de fonction.</w:t>
      </w:r>
    </w:p>
    <w:p w14:paraId="6519C17B" w14:textId="77777777" w:rsidR="00805DC0" w:rsidRDefault="00956C8C">
      <w:pPr>
        <w:pStyle w:val="Standard"/>
        <w:spacing w:before="28" w:after="28"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b/>
        <w:t xml:space="preserve">À notre sens, la seule redevance qui pourrait incomber au salarié est la participation </w:t>
      </w:r>
      <w:r>
        <w:rPr>
          <w:rFonts w:ascii="Times New Roman" w:eastAsia="Times New Roman" w:hAnsi="Times New Roman" w:cs="Times New Roman"/>
          <w:sz w:val="24"/>
          <w:szCs w:val="24"/>
          <w:lang w:eastAsia="fr-FR"/>
        </w:rPr>
        <w:tab/>
        <w:t xml:space="preserve">financière qui aurait été prévue dès l’origine pour les périodes travaillées ou non </w:t>
      </w:r>
      <w:r>
        <w:rPr>
          <w:rFonts w:ascii="Times New Roman" w:eastAsia="Times New Roman" w:hAnsi="Times New Roman" w:cs="Times New Roman"/>
          <w:sz w:val="24"/>
          <w:szCs w:val="24"/>
          <w:lang w:eastAsia="fr-FR"/>
        </w:rPr>
        <w:tab/>
        <w:t>travaillées.</w:t>
      </w:r>
    </w:p>
    <w:p w14:paraId="28208884" w14:textId="77777777" w:rsidR="00805DC0" w:rsidRDefault="00805DC0">
      <w:pPr>
        <w:pStyle w:val="Standard"/>
      </w:pPr>
    </w:p>
    <w:sectPr w:rsidR="00805DC0" w:rsidSect="003C1347">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3B41C" w14:textId="77777777" w:rsidR="003C1347" w:rsidRDefault="003C1347" w:rsidP="00805DC0">
      <w:pPr>
        <w:spacing w:after="0" w:line="240" w:lineRule="auto"/>
      </w:pPr>
      <w:r>
        <w:separator/>
      </w:r>
    </w:p>
  </w:endnote>
  <w:endnote w:type="continuationSeparator" w:id="0">
    <w:p w14:paraId="40234BC8" w14:textId="77777777" w:rsidR="003C1347" w:rsidRDefault="003C1347" w:rsidP="00805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Segoe UI Symbol"/>
    <w:charset w:val="02"/>
    <w:family w:val="auto"/>
    <w:pitch w:val="variable"/>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2F2CD" w14:textId="77777777" w:rsidR="00956C8C" w:rsidRDefault="00956C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175251"/>
      <w:docPartObj>
        <w:docPartGallery w:val="Page Numbers (Bottom of Page)"/>
        <w:docPartUnique/>
      </w:docPartObj>
    </w:sdtPr>
    <w:sdtContent>
      <w:p w14:paraId="1F298D16" w14:textId="77777777" w:rsidR="00956C8C" w:rsidRDefault="00956C8C">
        <w:pPr>
          <w:pStyle w:val="Pieddepage"/>
        </w:pPr>
        <w:r>
          <w:fldChar w:fldCharType="begin"/>
        </w:r>
        <w:r>
          <w:instrText xml:space="preserve"> PAGE   \* MERGEFORMAT </w:instrText>
        </w:r>
        <w:r>
          <w:fldChar w:fldCharType="separate"/>
        </w:r>
        <w:r>
          <w:rPr>
            <w:noProof/>
          </w:rPr>
          <w:t>8</w:t>
        </w:r>
        <w:r>
          <w:fldChar w:fldCharType="end"/>
        </w:r>
      </w:p>
    </w:sdtContent>
  </w:sdt>
  <w:p w14:paraId="18163B18" w14:textId="77777777" w:rsidR="00956C8C" w:rsidRDefault="00956C8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2295" w14:textId="77777777" w:rsidR="00956C8C" w:rsidRDefault="00956C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72DB5" w14:textId="77777777" w:rsidR="003C1347" w:rsidRDefault="003C1347" w:rsidP="00805DC0">
      <w:pPr>
        <w:spacing w:after="0" w:line="240" w:lineRule="auto"/>
      </w:pPr>
      <w:r w:rsidRPr="00805DC0">
        <w:rPr>
          <w:color w:val="000000"/>
        </w:rPr>
        <w:separator/>
      </w:r>
    </w:p>
  </w:footnote>
  <w:footnote w:type="continuationSeparator" w:id="0">
    <w:p w14:paraId="45EB25BC" w14:textId="77777777" w:rsidR="003C1347" w:rsidRDefault="003C1347" w:rsidP="00805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1F4B" w14:textId="77777777" w:rsidR="00956C8C" w:rsidRDefault="00956C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35FA6" w14:textId="77777777" w:rsidR="00956C8C" w:rsidRDefault="00956C8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FF544" w14:textId="77777777" w:rsidR="00956C8C" w:rsidRDefault="00956C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2592"/>
    <w:multiLevelType w:val="multilevel"/>
    <w:tmpl w:val="0EAC5FD4"/>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1" w15:restartNumberingAfterBreak="0">
    <w:nsid w:val="0BBF4BD8"/>
    <w:multiLevelType w:val="multilevel"/>
    <w:tmpl w:val="C674D6E6"/>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2" w15:restartNumberingAfterBreak="0">
    <w:nsid w:val="41A81A5F"/>
    <w:multiLevelType w:val="hybridMultilevel"/>
    <w:tmpl w:val="5EE84186"/>
    <w:lvl w:ilvl="0" w:tplc="C3E835E8">
      <w:numFmt w:val="bullet"/>
      <w:lvlText w:val=""/>
      <w:lvlJc w:val="left"/>
      <w:pPr>
        <w:ind w:left="1068" w:hanging="360"/>
      </w:pPr>
      <w:rPr>
        <w:rFonts w:ascii="Symbol" w:eastAsia="Times New Roman" w:hAnsi="Symbol"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49C30876"/>
    <w:multiLevelType w:val="multilevel"/>
    <w:tmpl w:val="6DBADC44"/>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4" w15:restartNumberingAfterBreak="0">
    <w:nsid w:val="4EE154A2"/>
    <w:multiLevelType w:val="multilevel"/>
    <w:tmpl w:val="00DA0F2E"/>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5" w15:restartNumberingAfterBreak="0">
    <w:nsid w:val="545E6029"/>
    <w:multiLevelType w:val="multilevel"/>
    <w:tmpl w:val="C10EC910"/>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6" w15:restartNumberingAfterBreak="0">
    <w:nsid w:val="58115B75"/>
    <w:multiLevelType w:val="multilevel"/>
    <w:tmpl w:val="A09AA0E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7" w15:restartNumberingAfterBreak="0">
    <w:nsid w:val="6A3F3751"/>
    <w:multiLevelType w:val="multilevel"/>
    <w:tmpl w:val="D280214C"/>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num w:numId="1" w16cid:durableId="409355992">
    <w:abstractNumId w:val="3"/>
  </w:num>
  <w:num w:numId="2" w16cid:durableId="242178080">
    <w:abstractNumId w:val="4"/>
  </w:num>
  <w:num w:numId="3" w16cid:durableId="961690272">
    <w:abstractNumId w:val="6"/>
  </w:num>
  <w:num w:numId="4" w16cid:durableId="1280335345">
    <w:abstractNumId w:val="1"/>
  </w:num>
  <w:num w:numId="5" w16cid:durableId="984046619">
    <w:abstractNumId w:val="7"/>
  </w:num>
  <w:num w:numId="6" w16cid:durableId="289241785">
    <w:abstractNumId w:val="5"/>
  </w:num>
  <w:num w:numId="7" w16cid:durableId="2119786845">
    <w:abstractNumId w:val="0"/>
  </w:num>
  <w:num w:numId="8" w16cid:durableId="6747236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DC0"/>
    <w:rsid w:val="00163170"/>
    <w:rsid w:val="0016333D"/>
    <w:rsid w:val="001C6994"/>
    <w:rsid w:val="002514E3"/>
    <w:rsid w:val="00283F7E"/>
    <w:rsid w:val="00344F4A"/>
    <w:rsid w:val="003C1347"/>
    <w:rsid w:val="005E4A6E"/>
    <w:rsid w:val="006B56A9"/>
    <w:rsid w:val="00805DC0"/>
    <w:rsid w:val="00836E1B"/>
    <w:rsid w:val="008756B6"/>
    <w:rsid w:val="00956C8C"/>
    <w:rsid w:val="00E9320C"/>
    <w:rsid w:val="00ED06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4F2D1"/>
  <w15:docId w15:val="{39402395-A66F-40D2-8200-15FAF54E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kern w:val="3"/>
        <w:sz w:val="22"/>
        <w:szCs w:val="22"/>
        <w:lang w:val="fr-FR"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805DC0"/>
    <w:pPr>
      <w:widowControl/>
    </w:pPr>
  </w:style>
  <w:style w:type="paragraph" w:customStyle="1" w:styleId="Heading">
    <w:name w:val="Heading"/>
    <w:basedOn w:val="Standard"/>
    <w:next w:val="Textbody"/>
    <w:rsid w:val="00805DC0"/>
    <w:pPr>
      <w:keepNext/>
      <w:spacing w:before="240" w:after="120"/>
    </w:pPr>
    <w:rPr>
      <w:rFonts w:ascii="Arial" w:eastAsia="Microsoft YaHei" w:hAnsi="Arial" w:cs="Mangal"/>
      <w:sz w:val="28"/>
      <w:szCs w:val="28"/>
    </w:rPr>
  </w:style>
  <w:style w:type="paragraph" w:customStyle="1" w:styleId="Textbody">
    <w:name w:val="Text body"/>
    <w:basedOn w:val="Standard"/>
    <w:rsid w:val="00805DC0"/>
    <w:pPr>
      <w:spacing w:after="120"/>
    </w:pPr>
  </w:style>
  <w:style w:type="paragraph" w:styleId="Liste">
    <w:name w:val="List"/>
    <w:basedOn w:val="Textbody"/>
    <w:rsid w:val="00805DC0"/>
    <w:rPr>
      <w:rFonts w:cs="Mangal"/>
    </w:rPr>
  </w:style>
  <w:style w:type="paragraph" w:customStyle="1" w:styleId="Lgende1">
    <w:name w:val="Légende1"/>
    <w:basedOn w:val="Standard"/>
    <w:rsid w:val="00805DC0"/>
    <w:pPr>
      <w:suppressLineNumbers/>
      <w:spacing w:before="120" w:after="120"/>
    </w:pPr>
    <w:rPr>
      <w:rFonts w:cs="Mangal"/>
      <w:i/>
      <w:iCs/>
      <w:sz w:val="24"/>
      <w:szCs w:val="24"/>
    </w:rPr>
  </w:style>
  <w:style w:type="paragraph" w:customStyle="1" w:styleId="Index">
    <w:name w:val="Index"/>
    <w:basedOn w:val="Standard"/>
    <w:rsid w:val="00805DC0"/>
    <w:pPr>
      <w:suppressLineNumbers/>
    </w:pPr>
    <w:rPr>
      <w:rFonts w:cs="Mangal"/>
    </w:rPr>
  </w:style>
  <w:style w:type="paragraph" w:styleId="Textedebulles">
    <w:name w:val="Balloon Text"/>
    <w:basedOn w:val="Standard"/>
    <w:rsid w:val="00805DC0"/>
    <w:pPr>
      <w:spacing w:after="0" w:line="240" w:lineRule="auto"/>
    </w:pPr>
    <w:rPr>
      <w:rFonts w:ascii="Tahoma" w:hAnsi="Tahoma" w:cs="Tahoma"/>
      <w:sz w:val="16"/>
      <w:szCs w:val="16"/>
    </w:rPr>
  </w:style>
  <w:style w:type="paragraph" w:customStyle="1" w:styleId="TableContents">
    <w:name w:val="Table Contents"/>
    <w:basedOn w:val="Standard"/>
    <w:rsid w:val="00805DC0"/>
    <w:pPr>
      <w:suppressLineNumbers/>
    </w:pPr>
  </w:style>
  <w:style w:type="paragraph" w:customStyle="1" w:styleId="TableHeading">
    <w:name w:val="Table Heading"/>
    <w:basedOn w:val="TableContents"/>
    <w:rsid w:val="00805DC0"/>
    <w:pPr>
      <w:jc w:val="center"/>
    </w:pPr>
    <w:rPr>
      <w:b/>
      <w:bCs/>
    </w:rPr>
  </w:style>
  <w:style w:type="character" w:customStyle="1" w:styleId="TextedebullesCar">
    <w:name w:val="Texte de bulles Car"/>
    <w:basedOn w:val="Policepardfaut"/>
    <w:rsid w:val="00805DC0"/>
    <w:rPr>
      <w:rFonts w:ascii="Tahoma" w:hAnsi="Tahoma" w:cs="Tahoma"/>
      <w:sz w:val="16"/>
      <w:szCs w:val="16"/>
    </w:rPr>
  </w:style>
  <w:style w:type="character" w:customStyle="1" w:styleId="Internetlink">
    <w:name w:val="Internet link"/>
    <w:rsid w:val="00805DC0"/>
    <w:rPr>
      <w:color w:val="000080"/>
      <w:u w:val="single"/>
    </w:rPr>
  </w:style>
  <w:style w:type="character" w:customStyle="1" w:styleId="BulletSymbols">
    <w:name w:val="Bullet Symbols"/>
    <w:rsid w:val="00805DC0"/>
    <w:rPr>
      <w:rFonts w:ascii="OpenSymbol" w:eastAsia="OpenSymbol" w:hAnsi="OpenSymbol" w:cs="OpenSymbol"/>
    </w:rPr>
  </w:style>
  <w:style w:type="character" w:customStyle="1" w:styleId="StrongEmphasis">
    <w:name w:val="Strong Emphasis"/>
    <w:rsid w:val="00805DC0"/>
    <w:rPr>
      <w:b/>
      <w:bCs/>
    </w:rPr>
  </w:style>
  <w:style w:type="character" w:styleId="Accentuation">
    <w:name w:val="Emphasis"/>
    <w:rsid w:val="00805DC0"/>
    <w:rPr>
      <w:i/>
      <w:iCs/>
    </w:rPr>
  </w:style>
  <w:style w:type="paragraph" w:styleId="En-tte">
    <w:name w:val="header"/>
    <w:basedOn w:val="Normal"/>
    <w:link w:val="En-tteCar"/>
    <w:uiPriority w:val="99"/>
    <w:semiHidden/>
    <w:unhideWhenUsed/>
    <w:rsid w:val="00956C8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56C8C"/>
  </w:style>
  <w:style w:type="paragraph" w:styleId="Pieddepage">
    <w:name w:val="footer"/>
    <w:basedOn w:val="Normal"/>
    <w:link w:val="PieddepageCar"/>
    <w:uiPriority w:val="99"/>
    <w:unhideWhenUsed/>
    <w:rsid w:val="00956C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56C8C"/>
  </w:style>
  <w:style w:type="paragraph" w:styleId="Paragraphedeliste">
    <w:name w:val="List Paragraph"/>
    <w:basedOn w:val="Normal"/>
    <w:uiPriority w:val="34"/>
    <w:qFormat/>
    <w:rsid w:val="00344F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rfpaye.grouperf.com/lien_robot/index.php?id=92" TargetMode="External"/><Relationship Id="rId13" Type="http://schemas.openxmlformats.org/officeDocument/2006/relationships/hyperlink" Target="http://rfpaye.grouperf.com/lien_robot/index.php?id=92" TargetMode="External"/><Relationship Id="rId18" Type="http://schemas.openxmlformats.org/officeDocument/2006/relationships/hyperlink" Target="http://rfpaye.grouperf.com/lien_spad/?base=LEGI&amp;orig=REVUE_RF_FH&amp;code=LEGITEXT000006069577&amp;numero=82&amp;idspad=LEGIARTI000025842523"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rfpaye.grouperf.com/dictionnaire/paye/20120403141838440.html" TargetMode="External"/><Relationship Id="rId12" Type="http://schemas.openxmlformats.org/officeDocument/2006/relationships/hyperlink" Target="http://rfpaye.grouperf.com/lien_spad/?base=LEGI&amp;orig=REVUE_RF_FH&amp;code=LEGITEXT000006069577&amp;numero=1516&amp;idspad=LEGIARTI000006311753" TargetMode="External"/><Relationship Id="rId17" Type="http://schemas.openxmlformats.org/officeDocument/2006/relationships/hyperlink" Target="http://rfpaye.grouperf.com/lien_robot/index.php?id=97"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rfpaye.grouperf.com/lien_robot/index.php?id=92"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fpaye.grouperf.com/lien_spad/?base=LEGI&amp;orig=REVUE_RF_FH&amp;code=LEGITEXT000006069577&amp;numero=1496&amp;idspad=LEGIARTI000026294813"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rfpaye.grouperf.com/lien_robot/index.php?id=97" TargetMode="External"/><Relationship Id="rId23" Type="http://schemas.openxmlformats.org/officeDocument/2006/relationships/footer" Target="footer2.xml"/><Relationship Id="rId10" Type="http://schemas.openxmlformats.org/officeDocument/2006/relationships/hyperlink" Target="http://rfpaye.grouperf.com/lien_robot/index.php?id=97" TargetMode="External"/><Relationship Id="rId19" Type="http://schemas.openxmlformats.org/officeDocument/2006/relationships/hyperlink" Target="http://rfpaye.grouperf.com/lien_spad/?base=LEGI&amp;orig=REVUE_RF_FH&amp;code=LEGITEXT000006072050&amp;numero=D3231-11&amp;idspad=LEGIARTI000018533864" TargetMode="External"/><Relationship Id="rId4" Type="http://schemas.openxmlformats.org/officeDocument/2006/relationships/webSettings" Target="webSettings.xml"/><Relationship Id="rId9" Type="http://schemas.openxmlformats.org/officeDocument/2006/relationships/hyperlink" Target="http://rfpaye.grouperf.com/lien_robot/index.php?id=97" TargetMode="External"/><Relationship Id="rId14" Type="http://schemas.openxmlformats.org/officeDocument/2006/relationships/hyperlink" Target="http://rfpaye.grouperf.com/lien_robot/index.php?id=97"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2623</Words>
  <Characters>14427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dc:creator>
  <cp:lastModifiedBy>jacques LE CHEVANTON</cp:lastModifiedBy>
  <cp:revision>5</cp:revision>
  <cp:lastPrinted>2015-04-14T07:23:00Z</cp:lastPrinted>
  <dcterms:created xsi:type="dcterms:W3CDTF">2024-03-30T14:27:00Z</dcterms:created>
  <dcterms:modified xsi:type="dcterms:W3CDTF">2024-03-30T14:37:00Z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