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497" w14:textId="77777777" w:rsidR="006C48BB" w:rsidRDefault="001F401C">
      <w:pPr>
        <w:pStyle w:val="Standard"/>
        <w:spacing w:before="28" w:after="28" w:line="240" w:lineRule="auto"/>
        <w:jc w:val="center"/>
      </w:pPr>
      <w:r>
        <w:rPr>
          <w:rFonts w:ascii="Times New Roman" w:eastAsia="Times New Roman" w:hAnsi="Times New Roman" w:cs="Times New Roman"/>
          <w:b/>
          <w:bCs/>
          <w:sz w:val="48"/>
          <w:szCs w:val="48"/>
          <w:lang w:eastAsia="fr-FR"/>
        </w:rPr>
        <w:t>QCM AVANTAGE EN NATURE LOGEMENT</w:t>
      </w:r>
    </w:p>
    <w:p w14:paraId="10BF4B23" w14:textId="77777777" w:rsidR="006C48BB" w:rsidRDefault="006C48BB">
      <w:pPr>
        <w:pStyle w:val="Standard"/>
        <w:spacing w:before="28" w:after="28" w:line="240" w:lineRule="auto"/>
        <w:jc w:val="center"/>
      </w:pPr>
    </w:p>
    <w:p w14:paraId="15B22EDF"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Évaluez vos connaissances sur l'avantage en nature logement</w:t>
      </w:r>
    </w:p>
    <w:p w14:paraId="6FBCDA7B" w14:textId="77777777" w:rsidR="006C48BB" w:rsidRDefault="006C48BB">
      <w:pPr>
        <w:pStyle w:val="Standard"/>
        <w:spacing w:before="28" w:after="28" w:line="240" w:lineRule="auto"/>
      </w:pPr>
    </w:p>
    <w:tbl>
      <w:tblPr>
        <w:tblW w:w="9072" w:type="dxa"/>
        <w:jc w:val="center"/>
        <w:tblLayout w:type="fixed"/>
        <w:tblCellMar>
          <w:left w:w="10" w:type="dxa"/>
          <w:right w:w="10" w:type="dxa"/>
        </w:tblCellMar>
        <w:tblLook w:val="04A0" w:firstRow="1" w:lastRow="0" w:firstColumn="1" w:lastColumn="0" w:noHBand="0" w:noVBand="1"/>
      </w:tblPr>
      <w:tblGrid>
        <w:gridCol w:w="7740"/>
        <w:gridCol w:w="677"/>
        <w:gridCol w:w="655"/>
      </w:tblGrid>
      <w:tr w:rsidR="006C48BB" w14:paraId="47EC350D" w14:textId="77777777" w:rsidTr="006C48BB">
        <w:trPr>
          <w:jc w:val="center"/>
        </w:trPr>
        <w:tc>
          <w:tcPr>
            <w:tcW w:w="7740" w:type="dxa"/>
            <w:tcMar>
              <w:top w:w="0" w:type="dxa"/>
              <w:left w:w="0" w:type="dxa"/>
              <w:bottom w:w="0" w:type="dxa"/>
              <w:right w:w="0" w:type="dxa"/>
            </w:tcMar>
          </w:tcPr>
          <w:p w14:paraId="3B1686BD" w14:textId="77777777" w:rsidR="006C48BB" w:rsidRDefault="006C48BB">
            <w:pPr>
              <w:pStyle w:val="Standard"/>
              <w:spacing w:after="0" w:line="240" w:lineRule="auto"/>
              <w:rPr>
                <w:rFonts w:ascii="Times New Roman" w:eastAsia="Times New Roman" w:hAnsi="Times New Roman" w:cs="Times New Roman"/>
                <w:sz w:val="24"/>
                <w:szCs w:val="24"/>
                <w:lang w:eastAsia="fr-FR"/>
              </w:rPr>
            </w:pPr>
          </w:p>
        </w:tc>
        <w:tc>
          <w:tcPr>
            <w:tcW w:w="677" w:type="dxa"/>
            <w:tcMar>
              <w:top w:w="0" w:type="dxa"/>
              <w:left w:w="0" w:type="dxa"/>
              <w:bottom w:w="0" w:type="dxa"/>
              <w:right w:w="0" w:type="dxa"/>
            </w:tcMar>
          </w:tcPr>
          <w:p w14:paraId="6A3BC36B"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VRAI</w:t>
            </w:r>
          </w:p>
        </w:tc>
        <w:tc>
          <w:tcPr>
            <w:tcW w:w="655" w:type="dxa"/>
            <w:tcMar>
              <w:top w:w="0" w:type="dxa"/>
              <w:left w:w="0" w:type="dxa"/>
              <w:bottom w:w="0" w:type="dxa"/>
              <w:right w:w="0" w:type="dxa"/>
            </w:tcMar>
          </w:tcPr>
          <w:p w14:paraId="11C4DA02"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FAUX</w:t>
            </w:r>
          </w:p>
        </w:tc>
      </w:tr>
      <w:tr w:rsidR="006C48BB" w14:paraId="1CBC2F2D" w14:textId="77777777" w:rsidTr="006C48BB">
        <w:trPr>
          <w:jc w:val="center"/>
        </w:trPr>
        <w:tc>
          <w:tcPr>
            <w:tcW w:w="7740" w:type="dxa"/>
            <w:tcMar>
              <w:top w:w="0" w:type="dxa"/>
              <w:left w:w="0" w:type="dxa"/>
              <w:bottom w:w="0" w:type="dxa"/>
              <w:right w:w="0" w:type="dxa"/>
            </w:tcMar>
          </w:tcPr>
          <w:p w14:paraId="4BBC01A6" w14:textId="77777777" w:rsidR="006C48BB" w:rsidRDefault="001F401C">
            <w:pPr>
              <w:pStyle w:val="Standard"/>
              <w:spacing w:before="28" w:after="28" w:line="240" w:lineRule="auto"/>
            </w:pPr>
            <w:r>
              <w:rPr>
                <w:rFonts w:ascii="Times New Roman" w:eastAsia="Times New Roman" w:hAnsi="Times New Roman" w:cs="Times New Roman"/>
                <w:b/>
                <w:bCs/>
                <w:sz w:val="24"/>
                <w:szCs w:val="24"/>
                <w:lang w:eastAsia="fr-FR"/>
              </w:rPr>
              <w:t>-&gt; 1/ Principes généraux d'évaluation de l'avantage</w:t>
            </w:r>
          </w:p>
        </w:tc>
        <w:tc>
          <w:tcPr>
            <w:tcW w:w="677" w:type="dxa"/>
            <w:tcMar>
              <w:top w:w="0" w:type="dxa"/>
              <w:left w:w="0" w:type="dxa"/>
              <w:bottom w:w="0" w:type="dxa"/>
              <w:right w:w="0" w:type="dxa"/>
            </w:tcMar>
          </w:tcPr>
          <w:p w14:paraId="0698138D" w14:textId="77777777" w:rsidR="006C48BB" w:rsidRDefault="006C48BB">
            <w:pPr>
              <w:pStyle w:val="Standard"/>
              <w:spacing w:after="0" w:line="240" w:lineRule="auto"/>
              <w:jc w:val="center"/>
              <w:rPr>
                <w:rFonts w:ascii="Times New Roman" w:eastAsia="Times New Roman" w:hAnsi="Times New Roman" w:cs="Times New Roman"/>
                <w:sz w:val="18"/>
                <w:szCs w:val="18"/>
                <w:lang w:eastAsia="fr-FR"/>
              </w:rPr>
            </w:pPr>
          </w:p>
        </w:tc>
        <w:tc>
          <w:tcPr>
            <w:tcW w:w="655" w:type="dxa"/>
            <w:tcMar>
              <w:top w:w="0" w:type="dxa"/>
              <w:left w:w="0" w:type="dxa"/>
              <w:bottom w:w="0" w:type="dxa"/>
              <w:right w:w="0" w:type="dxa"/>
            </w:tcMar>
          </w:tcPr>
          <w:p w14:paraId="1332BE53" w14:textId="77777777" w:rsidR="006C48BB" w:rsidRDefault="006C48BB">
            <w:pPr>
              <w:pStyle w:val="Standard"/>
              <w:spacing w:after="0" w:line="240" w:lineRule="auto"/>
              <w:jc w:val="center"/>
              <w:rPr>
                <w:rFonts w:ascii="Times New Roman" w:eastAsia="Times New Roman" w:hAnsi="Times New Roman" w:cs="Times New Roman"/>
                <w:sz w:val="18"/>
                <w:szCs w:val="18"/>
                <w:lang w:eastAsia="fr-FR"/>
              </w:rPr>
            </w:pPr>
          </w:p>
        </w:tc>
      </w:tr>
      <w:tr w:rsidR="006C48BB" w14:paraId="2E647C06" w14:textId="77777777" w:rsidTr="006C48BB">
        <w:trPr>
          <w:jc w:val="center"/>
        </w:trPr>
        <w:tc>
          <w:tcPr>
            <w:tcW w:w="7740" w:type="dxa"/>
            <w:tcMar>
              <w:top w:w="0" w:type="dxa"/>
              <w:left w:w="0" w:type="dxa"/>
              <w:bottom w:w="0" w:type="dxa"/>
              <w:right w:w="0" w:type="dxa"/>
            </w:tcMar>
          </w:tcPr>
          <w:p w14:paraId="7A6A8D96"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a) L'employeur choisit son mode d'évaluation : forfaitaire ou selon</w:t>
            </w:r>
          </w:p>
          <w:p w14:paraId="64C6B531" w14:textId="77777777" w:rsidR="006C48BB" w:rsidRDefault="001F401C">
            <w:pPr>
              <w:pStyle w:val="Standard"/>
              <w:spacing w:before="28" w:after="28" w:line="240" w:lineRule="auto"/>
            </w:pPr>
            <w:proofErr w:type="gramStart"/>
            <w:r>
              <w:rPr>
                <w:rFonts w:ascii="Times New Roman" w:eastAsia="Times New Roman" w:hAnsi="Times New Roman" w:cs="Times New Roman"/>
                <w:sz w:val="24"/>
                <w:szCs w:val="24"/>
                <w:lang w:eastAsia="fr-FR"/>
              </w:rPr>
              <w:t>valeur</w:t>
            </w:r>
            <w:proofErr w:type="gramEnd"/>
            <w:r>
              <w:rPr>
                <w:rFonts w:ascii="Times New Roman" w:eastAsia="Times New Roman" w:hAnsi="Times New Roman" w:cs="Times New Roman"/>
                <w:sz w:val="24"/>
                <w:szCs w:val="24"/>
                <w:lang w:eastAsia="fr-FR"/>
              </w:rPr>
              <w:t xml:space="preserve"> locative</w:t>
            </w:r>
          </w:p>
        </w:tc>
        <w:tc>
          <w:tcPr>
            <w:tcW w:w="677" w:type="dxa"/>
            <w:tcMar>
              <w:top w:w="0" w:type="dxa"/>
              <w:left w:w="0" w:type="dxa"/>
              <w:bottom w:w="0" w:type="dxa"/>
              <w:right w:w="0" w:type="dxa"/>
            </w:tcMar>
          </w:tcPr>
          <w:p w14:paraId="362202D3"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51D33351"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r w:rsidR="006C48BB" w14:paraId="22FF1BA0" w14:textId="77777777" w:rsidTr="006C48BB">
        <w:trPr>
          <w:jc w:val="center"/>
        </w:trPr>
        <w:tc>
          <w:tcPr>
            <w:tcW w:w="7740" w:type="dxa"/>
            <w:tcMar>
              <w:top w:w="0" w:type="dxa"/>
              <w:left w:w="0" w:type="dxa"/>
              <w:bottom w:w="0" w:type="dxa"/>
              <w:right w:w="0" w:type="dxa"/>
            </w:tcMar>
          </w:tcPr>
          <w:p w14:paraId="5FF6C499"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b) En cas d'absence tout un mois sans maintien de salaire, l'évaluation est fixée par référence à celle du mois qui précède</w:t>
            </w:r>
          </w:p>
        </w:tc>
        <w:tc>
          <w:tcPr>
            <w:tcW w:w="677" w:type="dxa"/>
            <w:tcMar>
              <w:top w:w="0" w:type="dxa"/>
              <w:left w:w="0" w:type="dxa"/>
              <w:bottom w:w="0" w:type="dxa"/>
              <w:right w:w="0" w:type="dxa"/>
            </w:tcMar>
          </w:tcPr>
          <w:p w14:paraId="18E11A4B"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0EBA7AA1"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r w:rsidR="006C48BB" w14:paraId="2A94956E" w14:textId="77777777" w:rsidTr="006C48BB">
        <w:trPr>
          <w:jc w:val="center"/>
        </w:trPr>
        <w:tc>
          <w:tcPr>
            <w:tcW w:w="7740" w:type="dxa"/>
            <w:tcMar>
              <w:top w:w="0" w:type="dxa"/>
              <w:left w:w="0" w:type="dxa"/>
              <w:bottom w:w="0" w:type="dxa"/>
              <w:right w:w="0" w:type="dxa"/>
            </w:tcMar>
          </w:tcPr>
          <w:p w14:paraId="2FD39840"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c) En cas d'application du barème forfaitaire, la valeur de l'avantage en nature dépend de la rémunération du salarié y inclus les autres avantages en nature</w:t>
            </w:r>
          </w:p>
        </w:tc>
        <w:tc>
          <w:tcPr>
            <w:tcW w:w="677" w:type="dxa"/>
            <w:tcMar>
              <w:top w:w="0" w:type="dxa"/>
              <w:left w:w="0" w:type="dxa"/>
              <w:bottom w:w="0" w:type="dxa"/>
              <w:right w:w="0" w:type="dxa"/>
            </w:tcMar>
          </w:tcPr>
          <w:p w14:paraId="6384A1E5"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7243B571"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r w:rsidR="006C48BB" w14:paraId="19BCB7ED" w14:textId="77777777" w:rsidTr="006C48BB">
        <w:trPr>
          <w:jc w:val="center"/>
        </w:trPr>
        <w:tc>
          <w:tcPr>
            <w:tcW w:w="9072" w:type="dxa"/>
            <w:gridSpan w:val="3"/>
            <w:tcMar>
              <w:top w:w="0" w:type="dxa"/>
              <w:left w:w="0" w:type="dxa"/>
              <w:bottom w:w="0" w:type="dxa"/>
              <w:right w:w="0" w:type="dxa"/>
            </w:tcMar>
          </w:tcPr>
          <w:p w14:paraId="21356DA9" w14:textId="77777777" w:rsidR="006C48BB" w:rsidRDefault="001F401C">
            <w:pPr>
              <w:pStyle w:val="Standard"/>
              <w:spacing w:before="28" w:after="28" w:line="240" w:lineRule="auto"/>
            </w:pPr>
            <w:r>
              <w:rPr>
                <w:rFonts w:ascii="Times New Roman" w:eastAsia="Times New Roman" w:hAnsi="Times New Roman" w:cs="Times New Roman"/>
                <w:b/>
                <w:bCs/>
                <w:sz w:val="24"/>
                <w:szCs w:val="24"/>
                <w:lang w:eastAsia="fr-FR"/>
              </w:rPr>
              <w:t>-&gt; 2/ Cas particuliers d'évaluation</w:t>
            </w:r>
          </w:p>
        </w:tc>
      </w:tr>
      <w:tr w:rsidR="006C48BB" w14:paraId="2AB959F2" w14:textId="77777777" w:rsidTr="006C48BB">
        <w:trPr>
          <w:jc w:val="center"/>
        </w:trPr>
        <w:tc>
          <w:tcPr>
            <w:tcW w:w="7740" w:type="dxa"/>
            <w:tcMar>
              <w:top w:w="0" w:type="dxa"/>
              <w:left w:w="0" w:type="dxa"/>
              <w:bottom w:w="0" w:type="dxa"/>
              <w:right w:w="0" w:type="dxa"/>
            </w:tcMar>
          </w:tcPr>
          <w:p w14:paraId="77E8B62B"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a) L'évaluation peut dépendre de l'éventuelle nécessité de service pesant sur le salarié</w:t>
            </w:r>
          </w:p>
        </w:tc>
        <w:tc>
          <w:tcPr>
            <w:tcW w:w="677" w:type="dxa"/>
            <w:tcMar>
              <w:top w:w="0" w:type="dxa"/>
              <w:left w:w="0" w:type="dxa"/>
              <w:bottom w:w="0" w:type="dxa"/>
              <w:right w:w="0" w:type="dxa"/>
            </w:tcMar>
          </w:tcPr>
          <w:p w14:paraId="35A17CDE"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0F402432"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r w:rsidR="006C48BB" w14:paraId="775F2295" w14:textId="77777777" w:rsidTr="006C48BB">
        <w:trPr>
          <w:jc w:val="center"/>
        </w:trPr>
        <w:tc>
          <w:tcPr>
            <w:tcW w:w="7740" w:type="dxa"/>
            <w:tcMar>
              <w:top w:w="0" w:type="dxa"/>
              <w:left w:w="0" w:type="dxa"/>
              <w:bottom w:w="0" w:type="dxa"/>
              <w:right w:w="0" w:type="dxa"/>
            </w:tcMar>
          </w:tcPr>
          <w:p w14:paraId="23BC7334"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b) Lorsque les deux conjoints travaillent dans la même entreprise et occupent un même logement, un seul supporte l'avantage en nature logement</w:t>
            </w:r>
          </w:p>
        </w:tc>
        <w:tc>
          <w:tcPr>
            <w:tcW w:w="677" w:type="dxa"/>
            <w:tcMar>
              <w:top w:w="0" w:type="dxa"/>
              <w:left w:w="0" w:type="dxa"/>
              <w:bottom w:w="0" w:type="dxa"/>
              <w:right w:w="0" w:type="dxa"/>
            </w:tcMar>
          </w:tcPr>
          <w:p w14:paraId="0F9C6703"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7E289EC0"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r w:rsidR="006C48BB" w14:paraId="708C3E12" w14:textId="77777777" w:rsidTr="006C48BB">
        <w:trPr>
          <w:jc w:val="center"/>
        </w:trPr>
        <w:tc>
          <w:tcPr>
            <w:tcW w:w="7740" w:type="dxa"/>
            <w:tcMar>
              <w:top w:w="0" w:type="dxa"/>
              <w:left w:w="0" w:type="dxa"/>
              <w:bottom w:w="0" w:type="dxa"/>
              <w:right w:w="0" w:type="dxa"/>
            </w:tcMar>
          </w:tcPr>
          <w:p w14:paraId="17BEB1A1"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c) En cas de rémunération variable, il est possible de fixer la valeur de l'avantage en nature en fixant une rémunération mensuelle moyenne</w:t>
            </w:r>
          </w:p>
        </w:tc>
        <w:tc>
          <w:tcPr>
            <w:tcW w:w="677" w:type="dxa"/>
            <w:tcMar>
              <w:top w:w="0" w:type="dxa"/>
              <w:left w:w="0" w:type="dxa"/>
              <w:bottom w:w="0" w:type="dxa"/>
              <w:right w:w="0" w:type="dxa"/>
            </w:tcMar>
          </w:tcPr>
          <w:p w14:paraId="09B13EF0"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6FC841AB"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r w:rsidR="006C48BB" w14:paraId="3F39E83E" w14:textId="77777777" w:rsidTr="006C48BB">
        <w:trPr>
          <w:jc w:val="center"/>
        </w:trPr>
        <w:tc>
          <w:tcPr>
            <w:tcW w:w="7740" w:type="dxa"/>
            <w:tcMar>
              <w:top w:w="0" w:type="dxa"/>
              <w:left w:w="0" w:type="dxa"/>
              <w:bottom w:w="0" w:type="dxa"/>
              <w:right w:w="0" w:type="dxa"/>
            </w:tcMar>
          </w:tcPr>
          <w:p w14:paraId="4F36299B" w14:textId="77777777" w:rsidR="006C48BB" w:rsidRDefault="001F401C">
            <w:pPr>
              <w:pStyle w:val="Standard"/>
              <w:spacing w:before="28" w:after="28" w:line="240" w:lineRule="auto"/>
            </w:pPr>
            <w:r>
              <w:rPr>
                <w:rFonts w:ascii="Times New Roman" w:eastAsia="Times New Roman" w:hAnsi="Times New Roman" w:cs="Times New Roman"/>
                <w:b/>
                <w:bCs/>
                <w:sz w:val="24"/>
                <w:szCs w:val="24"/>
                <w:lang w:eastAsia="fr-FR"/>
              </w:rPr>
              <w:t>-&gt; 3/ Divers</w:t>
            </w:r>
          </w:p>
        </w:tc>
        <w:tc>
          <w:tcPr>
            <w:tcW w:w="677" w:type="dxa"/>
            <w:tcMar>
              <w:top w:w="0" w:type="dxa"/>
              <w:left w:w="0" w:type="dxa"/>
              <w:bottom w:w="0" w:type="dxa"/>
              <w:right w:w="0" w:type="dxa"/>
            </w:tcMar>
          </w:tcPr>
          <w:p w14:paraId="6BE6FCE4" w14:textId="77777777" w:rsidR="006C48BB" w:rsidRDefault="006C48BB">
            <w:pPr>
              <w:pStyle w:val="Standard"/>
              <w:spacing w:after="0" w:line="240" w:lineRule="auto"/>
              <w:jc w:val="center"/>
              <w:rPr>
                <w:rFonts w:ascii="Times New Roman" w:eastAsia="Times New Roman" w:hAnsi="Times New Roman" w:cs="Times New Roman"/>
                <w:sz w:val="18"/>
                <w:szCs w:val="18"/>
                <w:lang w:eastAsia="fr-FR"/>
              </w:rPr>
            </w:pPr>
          </w:p>
        </w:tc>
        <w:tc>
          <w:tcPr>
            <w:tcW w:w="655" w:type="dxa"/>
            <w:tcMar>
              <w:top w:w="0" w:type="dxa"/>
              <w:left w:w="0" w:type="dxa"/>
              <w:bottom w:w="0" w:type="dxa"/>
              <w:right w:w="0" w:type="dxa"/>
            </w:tcMar>
          </w:tcPr>
          <w:p w14:paraId="1780B203" w14:textId="77777777" w:rsidR="006C48BB" w:rsidRDefault="006C48BB">
            <w:pPr>
              <w:pStyle w:val="Standard"/>
              <w:spacing w:after="0" w:line="240" w:lineRule="auto"/>
              <w:jc w:val="center"/>
              <w:rPr>
                <w:rFonts w:ascii="Times New Roman" w:eastAsia="Times New Roman" w:hAnsi="Times New Roman" w:cs="Times New Roman"/>
                <w:sz w:val="18"/>
                <w:szCs w:val="18"/>
                <w:lang w:eastAsia="fr-FR"/>
              </w:rPr>
            </w:pPr>
          </w:p>
        </w:tc>
      </w:tr>
      <w:tr w:rsidR="006C48BB" w14:paraId="229BC4AE" w14:textId="77777777" w:rsidTr="006C48BB">
        <w:trPr>
          <w:jc w:val="center"/>
        </w:trPr>
        <w:tc>
          <w:tcPr>
            <w:tcW w:w="7740" w:type="dxa"/>
            <w:tcMar>
              <w:top w:w="0" w:type="dxa"/>
              <w:left w:w="0" w:type="dxa"/>
              <w:bottom w:w="0" w:type="dxa"/>
              <w:right w:w="0" w:type="dxa"/>
            </w:tcMar>
          </w:tcPr>
          <w:p w14:paraId="2B8F737B"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a) L'évaluation ne tient pas compte du caractère éventuellement incomplet d'un mois</w:t>
            </w:r>
          </w:p>
        </w:tc>
        <w:tc>
          <w:tcPr>
            <w:tcW w:w="677" w:type="dxa"/>
            <w:tcMar>
              <w:top w:w="0" w:type="dxa"/>
              <w:left w:w="0" w:type="dxa"/>
              <w:bottom w:w="0" w:type="dxa"/>
              <w:right w:w="0" w:type="dxa"/>
            </w:tcMar>
          </w:tcPr>
          <w:p w14:paraId="394E112C"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02F59683"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r w:rsidR="006C48BB" w14:paraId="5BE6EC29" w14:textId="77777777" w:rsidTr="006C48BB">
        <w:trPr>
          <w:jc w:val="center"/>
        </w:trPr>
        <w:tc>
          <w:tcPr>
            <w:tcW w:w="7740" w:type="dxa"/>
            <w:tcMar>
              <w:top w:w="0" w:type="dxa"/>
              <w:left w:w="0" w:type="dxa"/>
              <w:bottom w:w="0" w:type="dxa"/>
              <w:right w:w="0" w:type="dxa"/>
            </w:tcMar>
          </w:tcPr>
          <w:p w14:paraId="4CD51DAE" w14:textId="77777777" w:rsidR="006C48BB" w:rsidRDefault="001F401C">
            <w:pPr>
              <w:pStyle w:val="Standard"/>
              <w:spacing w:before="28" w:after="28" w:line="240" w:lineRule="auto"/>
            </w:pPr>
            <w:r>
              <w:rPr>
                <w:rFonts w:ascii="Times New Roman" w:eastAsia="Times New Roman" w:hAnsi="Times New Roman" w:cs="Times New Roman"/>
                <w:sz w:val="24"/>
                <w:szCs w:val="24"/>
                <w:lang w:eastAsia="fr-FR"/>
              </w:rPr>
              <w:t>b) L'évaluation fiscale diffère de celle des cotisations sociales</w:t>
            </w:r>
          </w:p>
        </w:tc>
        <w:tc>
          <w:tcPr>
            <w:tcW w:w="677" w:type="dxa"/>
            <w:tcMar>
              <w:top w:w="0" w:type="dxa"/>
              <w:left w:w="0" w:type="dxa"/>
              <w:bottom w:w="0" w:type="dxa"/>
              <w:right w:w="0" w:type="dxa"/>
            </w:tcMar>
          </w:tcPr>
          <w:p w14:paraId="26E07E38"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c>
          <w:tcPr>
            <w:tcW w:w="655" w:type="dxa"/>
            <w:tcMar>
              <w:top w:w="0" w:type="dxa"/>
              <w:left w:w="0" w:type="dxa"/>
              <w:bottom w:w="0" w:type="dxa"/>
              <w:right w:w="0" w:type="dxa"/>
            </w:tcMar>
          </w:tcPr>
          <w:p w14:paraId="0D56F44D" w14:textId="77777777" w:rsidR="006C48BB" w:rsidRDefault="001F401C">
            <w:pPr>
              <w:pStyle w:val="Standard"/>
              <w:spacing w:before="28" w:after="28" w:line="240" w:lineRule="auto"/>
              <w:jc w:val="center"/>
              <w:rPr>
                <w:sz w:val="18"/>
                <w:szCs w:val="18"/>
              </w:rPr>
            </w:pPr>
            <w:r>
              <w:rPr>
                <w:rFonts w:ascii="Times New Roman" w:eastAsia="Times New Roman" w:hAnsi="Times New Roman" w:cs="Times New Roman"/>
                <w:sz w:val="18"/>
                <w:szCs w:val="18"/>
                <w:lang w:eastAsia="fr-FR"/>
              </w:rPr>
              <w:t>[]</w:t>
            </w:r>
          </w:p>
        </w:tc>
      </w:tr>
    </w:tbl>
    <w:p w14:paraId="44FED7F5" w14:textId="77777777" w:rsidR="006C48BB" w:rsidRDefault="006C48BB">
      <w:pPr>
        <w:pStyle w:val="Standard"/>
      </w:pPr>
    </w:p>
    <w:p w14:paraId="7FAF9D87" w14:textId="77777777" w:rsidR="006C48BB" w:rsidRDefault="006C48BB">
      <w:pPr>
        <w:pStyle w:val="Standard"/>
      </w:pPr>
    </w:p>
    <w:p w14:paraId="0F3B47D8" w14:textId="77777777" w:rsidR="006C48BB" w:rsidRDefault="001F401C">
      <w:pPr>
        <w:pStyle w:val="NormalWeb"/>
        <w:pageBreakBefore/>
        <w:jc w:val="both"/>
      </w:pPr>
      <w:r>
        <w:rPr>
          <w:b/>
        </w:rPr>
        <w:lastRenderedPageBreak/>
        <w:t>1.</w:t>
      </w:r>
    </w:p>
    <w:p w14:paraId="703FF06C" w14:textId="77777777" w:rsidR="006C48BB" w:rsidRDefault="006C48BB">
      <w:pPr>
        <w:pStyle w:val="NormalWeb"/>
        <w:jc w:val="both"/>
      </w:pPr>
    </w:p>
    <w:p w14:paraId="5FF75FF6" w14:textId="77777777" w:rsidR="006C48BB" w:rsidRDefault="001F401C">
      <w:pPr>
        <w:pStyle w:val="NormalWeb"/>
        <w:jc w:val="both"/>
      </w:pPr>
      <w:r>
        <w:t xml:space="preserve"> a) Vrai. L'avantage en nature logement est évalué au choix de l'employeur soit forfaitairement en fonction d'un barème (sauf concernant certains mandataires sociaux), soit sur la base de la valeur locative.</w:t>
      </w:r>
    </w:p>
    <w:p w14:paraId="30293C9B" w14:textId="77777777" w:rsidR="006C48BB" w:rsidRDefault="006C48BB">
      <w:pPr>
        <w:pStyle w:val="NormalWeb"/>
        <w:jc w:val="both"/>
      </w:pPr>
    </w:p>
    <w:p w14:paraId="3906D0CA" w14:textId="77777777" w:rsidR="006C48BB" w:rsidRDefault="001F401C">
      <w:pPr>
        <w:pStyle w:val="NormalWeb"/>
        <w:jc w:val="both"/>
      </w:pPr>
      <w:r>
        <w:t xml:space="preserve"> b) Faux. Dans ce cas, l'avantage en nature logement est calculé sur la base de la première tranche du barème en partant du principe que ce salarié est exclusivement rémunéré par cet avantage en nature (circ. DSS </w:t>
      </w:r>
      <w:hyperlink r:id="rId6" w:history="1">
        <w:r>
          <w:rPr>
            <w:b/>
            <w:bCs/>
          </w:rPr>
          <w:t>2005-389</w:t>
        </w:r>
      </w:hyperlink>
      <w:r>
        <w:t xml:space="preserve"> du 19 août 2005, question n° 4).</w:t>
      </w:r>
    </w:p>
    <w:p w14:paraId="55849DFD" w14:textId="77777777" w:rsidR="006C48BB" w:rsidRDefault="006C48BB">
      <w:pPr>
        <w:pStyle w:val="NormalWeb"/>
        <w:jc w:val="both"/>
      </w:pPr>
    </w:p>
    <w:p w14:paraId="5BADCD1F" w14:textId="77777777" w:rsidR="006C48BB" w:rsidRDefault="001F401C">
      <w:pPr>
        <w:pStyle w:val="NormalWeb"/>
        <w:jc w:val="both"/>
      </w:pPr>
      <w:r>
        <w:t xml:space="preserve"> c) Faux. Pour appliquer le barème forfaitaire, il faut prendre en compte le salaire brut en espèces avant incorporation des avantages en nature.</w:t>
      </w:r>
    </w:p>
    <w:p w14:paraId="35A312C7" w14:textId="77777777" w:rsidR="006C48BB" w:rsidRDefault="006C48BB">
      <w:pPr>
        <w:pStyle w:val="NormalWeb"/>
        <w:jc w:val="both"/>
      </w:pPr>
    </w:p>
    <w:p w14:paraId="4C142114" w14:textId="77777777" w:rsidR="006C48BB" w:rsidRDefault="001F401C">
      <w:pPr>
        <w:pStyle w:val="NormalWeb"/>
        <w:jc w:val="both"/>
        <w:rPr>
          <w:b/>
          <w:bCs/>
        </w:rPr>
      </w:pPr>
      <w:r>
        <w:rPr>
          <w:b/>
          <w:bCs/>
        </w:rPr>
        <w:t>2.</w:t>
      </w:r>
    </w:p>
    <w:p w14:paraId="3B45CC5D" w14:textId="77777777" w:rsidR="006C48BB" w:rsidRDefault="006C48BB">
      <w:pPr>
        <w:pStyle w:val="NormalWeb"/>
        <w:jc w:val="both"/>
        <w:rPr>
          <w:b/>
          <w:bCs/>
        </w:rPr>
      </w:pPr>
    </w:p>
    <w:p w14:paraId="7FBDEC4A" w14:textId="77777777" w:rsidR="006C48BB" w:rsidRDefault="001F401C">
      <w:pPr>
        <w:pStyle w:val="NormalWeb"/>
        <w:jc w:val="both"/>
      </w:pPr>
      <w:r>
        <w:t>a) Vrai. En cas de nécessité de service, c'est-à-dire de l'obligation d'être logé sur le lieu d'exercice de l'activité professionnelle, l'avantage en nature est d</w:t>
      </w:r>
      <w:r w:rsidR="00CF5ACF">
        <w:t>iminué d'un abattement pour sujé</w:t>
      </w:r>
      <w:r>
        <w:t>tion professionnelle de 30 % sur la valeur locative servant à établir la taxe d'habitation ou sur la valeur forfaitaire de l'avantage (circ. DSS 2003-7 du 7 janvier 2003).</w:t>
      </w:r>
    </w:p>
    <w:p w14:paraId="341ED14A" w14:textId="77777777" w:rsidR="006C48BB" w:rsidRDefault="006C48BB">
      <w:pPr>
        <w:pStyle w:val="NormalWeb"/>
        <w:jc w:val="both"/>
      </w:pPr>
    </w:p>
    <w:p w14:paraId="1D4FC7D8" w14:textId="77777777" w:rsidR="006C48BB" w:rsidRDefault="001F401C">
      <w:pPr>
        <w:pStyle w:val="NormalWeb"/>
        <w:jc w:val="both"/>
      </w:pPr>
      <w:r>
        <w:t>b) Faux. Tout dépend de la rédaction du contrat. Si le contrat de travail est muet sur ce point, la moitié de la valeur de l'avantage en nature s'ajoute à la rémunération de chacun des conjoints.</w:t>
      </w:r>
    </w:p>
    <w:p w14:paraId="18B279A5" w14:textId="77777777" w:rsidR="006C48BB" w:rsidRDefault="006C48BB">
      <w:pPr>
        <w:pStyle w:val="NormalWeb"/>
        <w:jc w:val="both"/>
      </w:pPr>
    </w:p>
    <w:p w14:paraId="11F1700F" w14:textId="77777777" w:rsidR="006C48BB" w:rsidRDefault="001F401C">
      <w:pPr>
        <w:pStyle w:val="NormalWeb"/>
        <w:jc w:val="both"/>
      </w:pPr>
      <w:r>
        <w:t xml:space="preserve"> c) Faux. Il n'est pas possible d'apprécier annuellement la rémunération du salarié sur la base d'une moyenne mensuelle régularisée en fin d'année. L'évaluation se fait sur la paye du mois en cours en tenant compte de toutes les rémunérations ex. : salaires, acomptes) (circ. DSS </w:t>
      </w:r>
      <w:hyperlink r:id="rId7" w:history="1">
        <w:r>
          <w:rPr>
            <w:b/>
            <w:bCs/>
          </w:rPr>
          <w:t>2005-389</w:t>
        </w:r>
      </w:hyperlink>
      <w:r>
        <w:t xml:space="preserve"> du 19 août 2005, question/réponse n° 5).</w:t>
      </w:r>
    </w:p>
    <w:p w14:paraId="76649D01" w14:textId="77777777" w:rsidR="006C48BB" w:rsidRDefault="006C48BB">
      <w:pPr>
        <w:pStyle w:val="NormalWeb"/>
        <w:jc w:val="both"/>
      </w:pPr>
    </w:p>
    <w:p w14:paraId="0CE819FD" w14:textId="77777777" w:rsidR="006C48BB" w:rsidRDefault="001F401C">
      <w:pPr>
        <w:pStyle w:val="NormalWeb"/>
        <w:jc w:val="both"/>
        <w:rPr>
          <w:b/>
          <w:bCs/>
        </w:rPr>
      </w:pPr>
      <w:r>
        <w:rPr>
          <w:b/>
          <w:bCs/>
        </w:rPr>
        <w:t>3.</w:t>
      </w:r>
    </w:p>
    <w:p w14:paraId="3F39C4AB" w14:textId="77777777" w:rsidR="006C48BB" w:rsidRDefault="006C48BB">
      <w:pPr>
        <w:pStyle w:val="NormalWeb"/>
        <w:jc w:val="both"/>
      </w:pPr>
    </w:p>
    <w:p w14:paraId="263AB215" w14:textId="77777777" w:rsidR="006C48BB" w:rsidRDefault="001F401C">
      <w:pPr>
        <w:pStyle w:val="NormalWeb"/>
        <w:jc w:val="both"/>
      </w:pPr>
      <w:r>
        <w:t>a) Faux. En cas de mois incomplet, c'est le nombre de semaines complètes qui est pris en compte dans la limite de 4 semaines.</w:t>
      </w:r>
    </w:p>
    <w:p w14:paraId="34CEA0ED" w14:textId="77777777" w:rsidR="006C48BB" w:rsidRDefault="006C48BB">
      <w:pPr>
        <w:pStyle w:val="NormalWeb"/>
        <w:jc w:val="both"/>
      </w:pPr>
    </w:p>
    <w:p w14:paraId="76008101" w14:textId="77777777" w:rsidR="006C48BB" w:rsidRDefault="001F401C">
      <w:pPr>
        <w:pStyle w:val="NormalWeb"/>
        <w:jc w:val="both"/>
      </w:pPr>
      <w:r>
        <w:t xml:space="preserve">b) Faux. L'évaluation fiscale pour la détermination du revenu imposable se fait selon les mêmes modalités que celles qui concernent l'assiette des cotisations de sécurité sociale quelle que soit la rémunération brute en espèces du salarié (CGI art. </w:t>
      </w:r>
      <w:hyperlink r:id="rId8" w:history="1">
        <w:r>
          <w:rPr>
            <w:b/>
            <w:bCs/>
          </w:rPr>
          <w:t>82</w:t>
        </w:r>
      </w:hyperlink>
      <w:r>
        <w:t>, BOFiP-RSA-BASE-</w:t>
      </w:r>
      <w:r>
        <w:rPr>
          <w:rStyle w:val="ctreference"/>
          <w:b/>
          <w:bCs/>
        </w:rPr>
        <w:t>20</w:t>
      </w:r>
      <w:r>
        <w:t>-20-12/09/2012).</w:t>
      </w:r>
    </w:p>
    <w:p w14:paraId="0C620C8F" w14:textId="77777777" w:rsidR="006C48BB" w:rsidRDefault="006C48BB">
      <w:pPr>
        <w:pStyle w:val="Standard"/>
        <w:jc w:val="both"/>
      </w:pPr>
    </w:p>
    <w:sectPr w:rsidR="006C48BB" w:rsidSect="006C48BB">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3EB2C" w14:textId="77777777" w:rsidR="00AC140E" w:rsidRDefault="00AC140E" w:rsidP="006C48BB">
      <w:pPr>
        <w:spacing w:after="0" w:line="240" w:lineRule="auto"/>
      </w:pPr>
      <w:r>
        <w:separator/>
      </w:r>
    </w:p>
  </w:endnote>
  <w:endnote w:type="continuationSeparator" w:id="0">
    <w:p w14:paraId="22659196" w14:textId="77777777" w:rsidR="00AC140E" w:rsidRDefault="00AC140E" w:rsidP="006C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82C7B" w14:textId="77777777" w:rsidR="00AC140E" w:rsidRDefault="00AC140E" w:rsidP="006C48BB">
      <w:pPr>
        <w:spacing w:after="0" w:line="240" w:lineRule="auto"/>
      </w:pPr>
      <w:r w:rsidRPr="006C48BB">
        <w:rPr>
          <w:color w:val="000000"/>
        </w:rPr>
        <w:separator/>
      </w:r>
    </w:p>
  </w:footnote>
  <w:footnote w:type="continuationSeparator" w:id="0">
    <w:p w14:paraId="65D651B3" w14:textId="77777777" w:rsidR="00AC140E" w:rsidRDefault="00AC140E" w:rsidP="006C48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8BB"/>
    <w:rsid w:val="001F401C"/>
    <w:rsid w:val="005907F4"/>
    <w:rsid w:val="006C48BB"/>
    <w:rsid w:val="00AC140E"/>
    <w:rsid w:val="00CF5A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B6F73"/>
  <w15:docId w15:val="{F5699318-C10D-4A61-9941-2066B82C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6C48BB"/>
    <w:pPr>
      <w:widowControl/>
    </w:pPr>
  </w:style>
  <w:style w:type="paragraph" w:customStyle="1" w:styleId="Heading">
    <w:name w:val="Heading"/>
    <w:basedOn w:val="Standard"/>
    <w:next w:val="Textbody"/>
    <w:rsid w:val="006C48BB"/>
    <w:pPr>
      <w:keepNext/>
      <w:spacing w:before="240" w:after="120"/>
    </w:pPr>
    <w:rPr>
      <w:rFonts w:ascii="Arial" w:eastAsia="Microsoft YaHei" w:hAnsi="Arial" w:cs="Mangal"/>
      <w:sz w:val="28"/>
      <w:szCs w:val="28"/>
    </w:rPr>
  </w:style>
  <w:style w:type="paragraph" w:customStyle="1" w:styleId="Textbody">
    <w:name w:val="Text body"/>
    <w:basedOn w:val="Standard"/>
    <w:rsid w:val="006C48BB"/>
    <w:pPr>
      <w:spacing w:after="120"/>
    </w:pPr>
  </w:style>
  <w:style w:type="paragraph" w:styleId="Liste">
    <w:name w:val="List"/>
    <w:basedOn w:val="Textbody"/>
    <w:rsid w:val="006C48BB"/>
    <w:rPr>
      <w:rFonts w:cs="Mangal"/>
    </w:rPr>
  </w:style>
  <w:style w:type="paragraph" w:customStyle="1" w:styleId="Lgende1">
    <w:name w:val="Légende1"/>
    <w:basedOn w:val="Standard"/>
    <w:rsid w:val="006C48BB"/>
    <w:pPr>
      <w:suppressLineNumbers/>
      <w:spacing w:before="120" w:after="120"/>
    </w:pPr>
    <w:rPr>
      <w:rFonts w:cs="Mangal"/>
      <w:i/>
      <w:iCs/>
      <w:sz w:val="24"/>
      <w:szCs w:val="24"/>
    </w:rPr>
  </w:style>
  <w:style w:type="paragraph" w:customStyle="1" w:styleId="Index">
    <w:name w:val="Index"/>
    <w:basedOn w:val="Standard"/>
    <w:rsid w:val="006C48BB"/>
    <w:pPr>
      <w:suppressLineNumbers/>
    </w:pPr>
    <w:rPr>
      <w:rFonts w:cs="Mangal"/>
    </w:rPr>
  </w:style>
  <w:style w:type="paragraph" w:styleId="NormalWeb">
    <w:name w:val="Normal (Web)"/>
    <w:basedOn w:val="Standard"/>
    <w:rsid w:val="006C48BB"/>
    <w:pPr>
      <w:spacing w:before="28" w:after="28" w:line="240" w:lineRule="auto"/>
    </w:pPr>
    <w:rPr>
      <w:rFonts w:ascii="Times New Roman" w:eastAsia="Times New Roman" w:hAnsi="Times New Roman" w:cs="Times New Roman"/>
      <w:sz w:val="24"/>
      <w:szCs w:val="24"/>
      <w:lang w:eastAsia="fr-FR"/>
    </w:rPr>
  </w:style>
  <w:style w:type="character" w:customStyle="1" w:styleId="StrongEmphasis">
    <w:name w:val="Strong Emphasis"/>
    <w:basedOn w:val="Policepardfaut"/>
    <w:rsid w:val="006C48BB"/>
    <w:rPr>
      <w:b/>
      <w:bCs/>
    </w:rPr>
  </w:style>
  <w:style w:type="character" w:customStyle="1" w:styleId="Internetlink">
    <w:name w:val="Internet link"/>
    <w:basedOn w:val="Policepardfaut"/>
    <w:rsid w:val="006C48BB"/>
    <w:rPr>
      <w:color w:val="0000FF"/>
      <w:u w:val="single"/>
    </w:rPr>
  </w:style>
  <w:style w:type="character" w:customStyle="1" w:styleId="ctreference">
    <w:name w:val="ct_reference"/>
    <w:basedOn w:val="Policepardfaut"/>
    <w:rsid w:val="006C48BB"/>
  </w:style>
  <w:style w:type="character" w:customStyle="1" w:styleId="NumberingSymbols">
    <w:name w:val="Numbering Symbols"/>
    <w:rsid w:val="006C4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rfpaye.grouperf.com/lien_spad/?base=LEGI&amp;orig=REVUE_RF_FH&amp;code=LEGITEXT000006069577&amp;numero=82&amp;idspad=LEGIARTI000025842523" TargetMode="External"/><Relationship Id="rId3" Type="http://schemas.openxmlformats.org/officeDocument/2006/relationships/webSettings" Target="webSettings.xml"/><Relationship Id="rId7" Type="http://schemas.openxmlformats.org/officeDocument/2006/relationships/hyperlink" Target="http://rfpaye.grouperf.com/lien_robot/index.php?id=13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fpaye.grouperf.com/lien_robot/index.php?id=13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2859</Characters>
  <Application>Microsoft Office Word</Application>
  <DocSecurity>0</DocSecurity>
  <Lines>23</Lines>
  <Paragraphs>6</Paragraphs>
  <ScaleCrop>false</ScaleCrop>
  <Company>Grizli777</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JACQUES LE CHEVANTON</cp:lastModifiedBy>
  <cp:revision>2</cp:revision>
  <cp:lastPrinted>2015-04-14T07:25:00Z</cp:lastPrinted>
  <dcterms:created xsi:type="dcterms:W3CDTF">2023-10-19T17:47:00Z</dcterms:created>
  <dcterms:modified xsi:type="dcterms:W3CDTF">2023-10-19T17:47:00Z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